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數值模擬——子節架構</w:t>
      </w:r>
    </w:p>
    <w:p>
      <w:r>
        <w:rPr>
          <w:rFonts w:ascii="Times New Roman" w:hAnsi="Times New Roman" w:eastAsia="標楷體"/>
          <w:b/>
          <w:sz w:val="24"/>
        </w:rPr>
        <w:t>4.1 水文循環下的坡地–隧道尺度響應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Δpp 檢核；活化區乾衰減/雨爆發/退凍結；Fig6/7/8</w:t>
      </w:r>
    </w:p>
    <w:p>
      <w:r>
        <w:rPr>
          <w:rFonts w:ascii="Times New Roman" w:hAnsi="Times New Roman" w:eastAsia="標楷體"/>
          <w:b/>
          <w:sz w:val="24"/>
        </w:rPr>
        <w:t>4.2 襯砌損傷與裂縫發展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損傷史 A_wet/A_frz（Fig9）→外壓/推力型態（Fig10）→分區與分類＋3D（Fig11/12）</w:t>
      </w:r>
    </w:p>
    <w:p>
      <w:r>
        <w:rPr>
          <w:rFonts w:ascii="Times New Roman" w:hAnsi="Times New Roman" w:eastAsia="標楷體"/>
          <w:b/>
          <w:sz w:val="24"/>
        </w:rPr>
        <w:t>4.3 模擬與現地對照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高損傷帶落點 vs 現地異狀段；同座標展開對照；誠實處理型態差異（D1 防線）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子節切法與順序？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