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Times New Roman" w:hAnsi="Times New Roman" w:eastAsia="標楷體"/>
          <w:b/>
          <w:sz w:val="32"/>
        </w:rPr>
        <w:t>數值模擬——Figure 規劃</w:t>
      </w:r>
    </w:p>
    <w:p>
      <w:r>
        <w:rPr>
          <w:rFonts w:ascii="Times New Roman" w:hAnsi="Times New Roman" w:eastAsia="標楷體"/>
          <w:b w:val="0"/>
          <w:sz w:val="24"/>
        </w:rPr>
        <w:t>Fig 6–12 共 7 張（本章主戰場）。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標楷體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