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數值模擬——Table 規劃</w:t>
      </w:r>
    </w:p>
    <w:p>
      <w:r>
        <w:rPr>
          <w:rFonts w:ascii="Times New Roman" w:hAnsi="Times New Roman" w:eastAsia="標楷體"/>
          <w:b w:val="0"/>
          <w:sz w:val="24"/>
        </w:rPr>
        <w:t>（Table 5 之單向欄位）。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