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討論——段落核心</w:t>
      </w:r>
    </w:p>
    <w:p>
      <w:r>
        <w:rPr>
          <w:rFonts w:ascii="Times New Roman" w:hAnsi="Times New Roman" w:eastAsia="標楷體"/>
          <w:b w:val="0"/>
          <w:sz w:val="24"/>
        </w:rPr>
        <w:t>・5.1 核心：回饋使損傷自增強——但誠實區分回饋效應與細時距路徑效應（L0 未跑前用「初探」語級）。</w:t>
      </w:r>
    </w:p>
    <w:p>
      <w:r>
        <w:rPr>
          <w:rFonts w:ascii="Times New Roman" w:hAnsi="Times New Roman" w:eastAsia="標楷體"/>
          <w:b w:val="0"/>
          <w:sz w:val="24"/>
        </w:rPr>
        <w:t>・5.2 核心：每個被質疑過的參數（T/f/K0）都有定準邏輯與敏感度說明——口委問題集中殲滅區。</w:t>
      </w:r>
    </w:p>
    <w:p>
      <w:r>
        <w:rPr>
          <w:rFonts w:ascii="Times New Roman" w:hAnsi="Times New Roman" w:eastAsia="標楷體"/>
          <w:b w:val="0"/>
          <w:sz w:val="24"/>
        </w:rPr>
        <w:t>・5.3 核心：水位相位＝損傷開關 → 營運隧道的地下水管理即襯砌損傷管理。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