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討論——Figure 規劃</w:t>
      </w:r>
    </w:p>
    <w:p>
      <w:r>
        <w:rPr>
          <w:rFonts w:ascii="Times New Roman" w:hAnsi="Times New Roman" w:eastAsia="標楷體"/>
          <w:b w:val="0"/>
          <w:sz w:val="24"/>
        </w:rPr>
        <w:t>Fig 13（雙向方法＋時間線）＋Fig 14（損傷圖演化）＋Fig 15（機理總結，新繪）。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