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結論——子節架構</w:t>
      </w:r>
    </w:p>
    <w:p>
      <w:r>
        <w:rPr>
          <w:rFonts w:ascii="Times New Roman" w:hAnsi="Times New Roman" w:eastAsia="標楷體"/>
          <w:b/>
          <w:sz w:val="24"/>
        </w:rPr>
        <w:t>貢獻（條列 5 條）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①跨尺度鏈量化到單一裂縫級②滯動襯砌尺度證據（91%/7.0/0.0046）③帶狀分區＋環向主導與現地對照④雙向回饋自增強（2.83×）＋耦合構型論證⑤水位管理＝損傷管理</w:t>
      </w:r>
    </w:p>
    <w:p>
      <w:r>
        <w:rPr>
          <w:rFonts w:ascii="Times New Roman" w:hAnsi="Times New Roman" w:eastAsia="標楷體"/>
          <w:b/>
          <w:sz w:val="24"/>
        </w:rPr>
        <w:t>限制（條列 2 條）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①f 縮尺趨勢級＋100 m 情境放大②雙向為初探（單一回饋律/未含 L0 分解/素混凝土 BPM）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