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結論——Table 規劃</w:t>
      </w:r>
    </w:p>
    <w:p>
      <w:r>
        <w:rPr>
          <w:rFonts w:ascii="Times New Roman" w:hAnsi="Times New Roman" w:eastAsia="標楷體"/>
          <w:b w:val="0"/>
          <w:sz w:val="24"/>
        </w:rPr>
        <w:t>無表。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