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前言各段核心句與句式骨架（落筆作戰卡）</w:t>
      </w:r>
    </w:p>
    <w:p>
      <w:r>
        <w:rPr>
          <w:rFonts w:ascii="Times New Roman" w:hAnsi="Times New Roman" w:eastAsia="標楷體"/>
          <w:b/>
          <w:sz w:val="26"/>
        </w:rPr>
        <w:t>P1 核心</w:t>
      </w:r>
    </w:p>
    <w:p>
      <w:r>
        <w:rPr>
          <w:rFonts w:ascii="Times New Roman" w:hAnsi="Times New Roman" w:eastAsia="標楷體"/>
          <w:b w:val="0"/>
          <w:sz w:val="23"/>
        </w:rPr>
        <w:t xml:space="preserve">共識句起手：襯砌裂縫為營運隧道最常見病害（此句即 </w:t>
      </w:r>
      <w:r>
        <w:rPr>
          <w:rFonts w:ascii="Times New Roman" w:hAnsi="Times New Roman" w:eastAsia="標楷體"/>
          <w:b w:val="0"/>
          <w:color w:val="1F4EC8"/>
          <w:sz w:val="23"/>
        </w:rPr>
        <w:t>(Chiu et al., 2017)</w:t>
      </w:r>
      <w:r>
        <w:rPr>
          <w:rFonts w:ascii="Times New Roman" w:hAnsi="Times New Roman" w:eastAsia="標楷體"/>
          <w:b w:val="0"/>
          <w:sz w:val="23"/>
        </w:rPr>
        <w:t xml:space="preserve"> 被引 94 次的主要引用點）→場景收窄（山岳鐵路×多雨×服役 N 年）→硬數字鉤子 1–2 個（裂縫增速/水位振幅）→維修反覆失效句（</w:t>
      </w:r>
      <w:r>
        <w:rPr>
          <w:rFonts w:ascii="Times New Roman" w:hAnsi="Times New Roman" w:eastAsia="標楷體"/>
          <w:b w:val="0"/>
          <w:color w:val="1F4EC8"/>
          <w:sz w:val="23"/>
        </w:rPr>
        <w:t>(Wang et al., 2023)</w:t>
      </w:r>
      <w:r>
        <w:rPr>
          <w:rFonts w:ascii="Times New Roman" w:hAnsi="Times New Roman" w:eastAsia="標楷體"/>
          <w:b w:val="0"/>
          <w:sz w:val="23"/>
        </w:rPr>
        <w:t xml:space="preserve"> destruction-restoration 循環）→需求收尾：掌握水文驅動機制是維養決策前提。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【重點：P1 禁方法詞；鉤子帶數字；失效句殺傷力最高】</w:t>
      </w:r>
    </w:p>
    <w:p>
      <w:r>
        <w:rPr>
          <w:rFonts w:ascii="Times New Roman" w:hAnsi="Times New Roman" w:eastAsia="標楷體"/>
          <w:b/>
          <w:sz w:val="26"/>
        </w:rPr>
        <w:t>P2 核心（v3：以裂縫型態學為軸，接血緣錨）</w:t>
      </w:r>
    </w:p>
    <w:p>
      <w:r>
        <w:rPr>
          <w:rFonts w:ascii="Times New Roman" w:hAnsi="Times New Roman" w:eastAsia="標楷體"/>
          <w:b w:val="0"/>
          <w:sz w:val="23"/>
        </w:rPr>
        <w:t>一句一人動詞鏈 4–8 筆（型態分類→演化紀錄→評估指標→深度安全→劣化因果序）：</w:t>
      </w:r>
      <w:r>
        <w:rPr>
          <w:rFonts w:ascii="Times New Roman" w:hAnsi="Times New Roman" w:eastAsia="標楷體"/>
          <w:b w:val="0"/>
          <w:color w:val="1F4EC8"/>
          <w:sz w:val="23"/>
        </w:rPr>
        <w:t>(Wang, 2010)</w:t>
      </w:r>
      <w:r>
        <w:rPr>
          <w:rFonts w:ascii="Times New Roman" w:hAnsi="Times New Roman" w:eastAsia="標楷體"/>
          <w:b w:val="0"/>
          <w:sz w:val="23"/>
        </w:rPr>
        <w:t xml:space="preserve"> 建立襯砌裂縫型態三軸分類並反推鄰坡剪動；</w:t>
      </w:r>
      <w:r>
        <w:rPr>
          <w:rFonts w:ascii="Times New Roman" w:hAnsi="Times New Roman" w:eastAsia="標楷體"/>
          <w:b w:val="0"/>
          <w:color w:val="1F4EC8"/>
          <w:sz w:val="23"/>
        </w:rPr>
        <w:t>(Chiu et al., 2017)</w:t>
      </w:r>
      <w:r>
        <w:rPr>
          <w:rFonts w:ascii="Times New Roman" w:hAnsi="Times New Roman" w:eastAsia="標楷體"/>
          <w:b w:val="0"/>
          <w:sz w:val="23"/>
        </w:rPr>
        <w:t xml:space="preserve"> 以七年九期影像記錄演化；</w:t>
      </w:r>
      <w:r>
        <w:rPr>
          <w:rFonts w:ascii="Times New Roman" w:hAnsi="Times New Roman" w:eastAsia="標楷體"/>
          <w:b w:val="0"/>
          <w:color w:val="1F4EC8"/>
          <w:sz w:val="23"/>
        </w:rPr>
        <w:t>(Wang et al., 2024)</w:t>
      </w:r>
      <w:r>
        <w:rPr>
          <w:rFonts w:ascii="Times New Roman" w:hAnsi="Times New Roman" w:eastAsia="標楷體"/>
          <w:b w:val="0"/>
          <w:sz w:val="23"/>
        </w:rPr>
        <w:t xml:space="preserve"> 立剝落評估指標（其文末自點名「可由數值模擬驗證修正」——直接引為墊腳）；</w:t>
      </w:r>
      <w:r>
        <w:rPr>
          <w:rFonts w:ascii="Times New Roman" w:hAnsi="Times New Roman" w:eastAsia="標楷體"/>
          <w:b w:val="0"/>
          <w:color w:val="1F4EC8"/>
          <w:sz w:val="23"/>
        </w:rPr>
        <w:t>(Chen et al., 2024)</w:t>
      </w:r>
      <w:r>
        <w:rPr>
          <w:rFonts w:ascii="Times New Roman" w:hAnsi="Times New Roman" w:eastAsia="標楷體"/>
          <w:b w:val="0"/>
          <w:sz w:val="23"/>
        </w:rPr>
        <w:t xml:space="preserve"> 靜態裂縫深度—安全對應；</w:t>
      </w:r>
      <w:r>
        <w:rPr>
          <w:rFonts w:ascii="Times New Roman" w:hAnsi="Times New Roman" w:eastAsia="標楷體"/>
          <w:b w:val="0"/>
          <w:color w:val="1F4EC8"/>
          <w:sz w:val="23"/>
        </w:rPr>
        <w:t>(Zhang et al., 2022)</w:t>
      </w:r>
      <w:r>
        <w:rPr>
          <w:rFonts w:ascii="Times New Roman" w:hAnsi="Times New Roman" w:eastAsia="標楷體"/>
          <w:b w:val="0"/>
          <w:sz w:val="23"/>
        </w:rPr>
        <w:t xml:space="preserve"> 排水劣化因果。段尾第一刀＝**型態→成因僅止於定性反演，且反演須以獨立坡體證據為前提**；營運隧道之水位循環鮮少與裂縫同步量測，同級證據不可得。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【重點：第一刀砍在「反演證據不可得」；方法缺口留 P4】</w:t>
      </w:r>
    </w:p>
    <w:p>
      <w:r>
        <w:rPr>
          <w:rFonts w:ascii="Times New Roman" w:hAnsi="Times New Roman" w:eastAsia="標楷體"/>
          <w:b w:val="0"/>
          <w:sz w:val="23"/>
        </w:rPr>
        <w:t>【水的痕跡三實證，</w:t>
      </w:r>
      <w:r>
        <w:rPr>
          <w:rFonts w:ascii="Times New Roman" w:hAnsi="Times New Roman" w:eastAsia="標楷體"/>
          <w:b w:val="0"/>
          <w:color w:val="1F4EC8"/>
          <w:sz w:val="23"/>
        </w:rPr>
        <w:t>(Wang, 2010)</w:t>
      </w:r>
      <w:r>
        <w:rPr>
          <w:rFonts w:ascii="Times New Roman" w:hAnsi="Times New Roman" w:eastAsia="標楷體"/>
          <w:b w:val="0"/>
          <w:sz w:val="23"/>
        </w:rPr>
        <w:t xml:space="preserve"> 全文精讀所得，可直接寫進 P2/P3 缺口段】①案例 I：連續豪雨→約 440 m 擋土牆沖毀剪斷→地表位移 &gt;0.2 m→隧道裂縫，該隧道首次通報異常即為漏水；②案例 III：主裂縫（寬 10–35 mm）被白華填滿；③案例 IV：補強含自山側側牆施作排水孔以減輕地下水影響。**水的痕跡遍佈全篇、水的模型全篇缺席**——同一分類體系內的水文驅動從未被正演檢驗。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【重點：水痕遍佈×水模缺席＝最乾淨的缺口證詞】</w:t>
      </w:r>
    </w:p>
    <w:p>
      <w:r>
        <w:rPr>
          <w:rFonts w:ascii="Times New Roman" w:hAnsi="Times New Roman" w:eastAsia="標楷體"/>
          <w:b/>
          <w:sz w:val="26"/>
        </w:rPr>
        <w:t>P3 核心</w:t>
      </w:r>
    </w:p>
    <w:p>
      <w:r>
        <w:rPr>
          <w:rFonts w:ascii="Times New Roman" w:hAnsi="Times New Roman" w:eastAsia="標楷體"/>
          <w:b w:val="0"/>
          <w:sz w:val="23"/>
        </w:rPr>
        <w:t xml:space="preserve">三軌回顧：解析 </w:t>
      </w:r>
      <w:r>
        <w:rPr>
          <w:rFonts w:ascii="Times New Roman" w:hAnsi="Times New Roman" w:eastAsia="標楷體"/>
          <w:b w:val="0"/>
          <w:color w:val="1F4EC8"/>
          <w:sz w:val="23"/>
        </w:rPr>
        <w:t>(Fahimifar &amp; Zareifard, 2009)</w:t>
      </w:r>
      <w:r>
        <w:rPr>
          <w:rFonts w:ascii="Times New Roman" w:hAnsi="Times New Roman" w:eastAsia="標楷體"/>
          <w:b w:val="0"/>
          <w:sz w:val="23"/>
        </w:rPr>
        <w:t xml:space="preserve">（穩態 HM 正典）／實驗 </w:t>
      </w:r>
      <w:r>
        <w:rPr>
          <w:rFonts w:ascii="Times New Roman" w:hAnsi="Times New Roman" w:eastAsia="標楷體"/>
          <w:b w:val="0"/>
          <w:color w:val="1F4EC8"/>
          <w:sz w:val="23"/>
        </w:rPr>
        <w:t>(Sun et al., 2023)</w:t>
      </w:r>
      <w:r>
        <w:rPr>
          <w:rFonts w:ascii="Times New Roman" w:hAnsi="Times New Roman" w:eastAsia="標楷體"/>
          <w:b w:val="0"/>
          <w:sz w:val="23"/>
        </w:rPr>
        <w:t>（水位波動響應；**單循環不可逆性**——一次升降後接觸壓力與彎矩高於初始並留殘餘沉陷＝我們循環邊界條件的最強實驗背書）</w:t>
      </w:r>
      <w:r>
        <w:rPr>
          <w:rFonts w:ascii="Times New Roman" w:hAnsi="Times New Roman" w:eastAsia="標楷體"/>
          <w:b w:val="0"/>
          <w:color w:val="1F4EC8"/>
          <w:sz w:val="23"/>
        </w:rPr>
        <w:t>(Li et al., 2021)</w:t>
      </w:r>
      <w:r>
        <w:rPr>
          <w:rFonts w:ascii="Times New Roman" w:hAnsi="Times New Roman" w:eastAsia="標楷體"/>
          <w:b w:val="0"/>
          <w:sz w:val="23"/>
        </w:rPr>
        <w:t xml:space="preserve">（飽和-失水循環劣化）／案例 </w:t>
      </w:r>
      <w:r>
        <w:rPr>
          <w:rFonts w:ascii="Times New Roman" w:hAnsi="Times New Roman" w:eastAsia="標楷體"/>
          <w:b w:val="0"/>
          <w:color w:val="1F4EC8"/>
          <w:sz w:val="23"/>
        </w:rPr>
        <w:t>(Tarifard et al., 2022)</w:t>
      </w:r>
      <w:r>
        <w:rPr>
          <w:rFonts w:ascii="Times New Roman" w:hAnsi="Times New Roman" w:eastAsia="標楷體"/>
          <w:b w:val="0"/>
          <w:sz w:val="23"/>
        </w:rPr>
        <w:t>（明言恆定水頭——cyclic vs static 缺口現成）。王牌證詞：</w:t>
      </w:r>
      <w:r>
        <w:rPr>
          <w:rFonts w:ascii="Times New Roman" w:hAnsi="Times New Roman" w:eastAsia="標楷體"/>
          <w:b w:val="0"/>
          <w:color w:val="1F4EC8"/>
          <w:sz w:val="23"/>
        </w:rPr>
        <w:t>(Wang et al., 2023)</w:t>
      </w:r>
      <w:r>
        <w:rPr>
          <w:rFonts w:ascii="Times New Roman" w:hAnsi="Times New Roman" w:eastAsia="標楷體"/>
          <w:b w:val="0"/>
          <w:sz w:val="23"/>
        </w:rPr>
        <w:t xml:space="preserve"> 自陳水為 root cause 但模型無水；</w:t>
      </w:r>
      <w:r>
        <w:rPr>
          <w:rFonts w:ascii="Times New Roman" w:hAnsi="Times New Roman" w:eastAsia="標楷體"/>
          <w:b w:val="0"/>
          <w:color w:val="1F4EC8"/>
          <w:sz w:val="23"/>
        </w:rPr>
        <w:t>(Zheng et al., 2024)</w:t>
      </w:r>
      <w:r>
        <w:rPr>
          <w:rFonts w:ascii="Times New Roman" w:hAnsi="Times New Roman" w:eastAsia="標楷體"/>
          <w:b w:val="0"/>
          <w:sz w:val="23"/>
        </w:rPr>
        <w:t xml:space="preserve"> 前言承認地下水誘發潛變卻全程無水建模。段尾雙短句：穩態/單調假設×連續體無法顯式解析裂縫（</w:t>
      </w:r>
      <w:r>
        <w:rPr>
          <w:rFonts w:ascii="Times New Roman" w:hAnsi="Times New Roman" w:eastAsia="標楷體"/>
          <w:b w:val="0"/>
          <w:color w:val="1F4EC8"/>
          <w:sz w:val="23"/>
        </w:rPr>
        <w:t>(Yin et al., 2022)</w:t>
      </w:r>
      <w:r>
        <w:rPr>
          <w:rFonts w:ascii="Times New Roman" w:hAnsi="Times New Roman" w:eastAsia="標楷體"/>
          <w:b w:val="0"/>
          <w:sz w:val="23"/>
        </w:rPr>
        <w:t xml:space="preserve"> 的 FLAC3D 自白可引）。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【重點：雙層下刀：情境缺口＋工具缺口；兩篇自遞刀口】</w:t>
      </w:r>
    </w:p>
    <w:p>
      <w:r>
        <w:rPr>
          <w:rFonts w:ascii="Times New Roman" w:hAnsi="Times New Roman" w:eastAsia="標楷體"/>
          <w:b/>
          <w:sz w:val="26"/>
        </w:rPr>
        <w:t>P4 核心（v3：雙漏斗＋三要素，附三發精準踩點）</w:t>
      </w:r>
    </w:p>
    <w:p>
      <w:r>
        <w:rPr>
          <w:rFonts w:ascii="Times New Roman" w:hAnsi="Times New Roman" w:eastAsia="標楷體"/>
          <w:b w:val="0"/>
          <w:sz w:val="23"/>
        </w:rPr>
        <w:t>系譜句 4–6 筆（</w:t>
      </w:r>
      <w:r>
        <w:rPr>
          <w:rFonts w:ascii="Times New Roman" w:hAnsi="Times New Roman" w:eastAsia="標楷體"/>
          <w:b w:val="0"/>
          <w:color w:val="1F4EC8"/>
          <w:sz w:val="23"/>
        </w:rPr>
        <w:t>(Lisjak et al., 2015)</w:t>
      </w:r>
      <w:r>
        <w:rPr>
          <w:rFonts w:ascii="Times New Roman" w:hAnsi="Times New Roman" w:eastAsia="標楷體"/>
          <w:b w:val="0"/>
          <w:color w:val="1F4EC8"/>
          <w:sz w:val="23"/>
        </w:rPr>
        <w:t>(Vazaios et al., 2019)</w:t>
      </w:r>
      <w:r>
        <w:rPr>
          <w:rFonts w:ascii="Times New Roman" w:hAnsi="Times New Roman" w:eastAsia="標楷體"/>
          <w:b w:val="0"/>
          <w:color w:val="1F4EC8"/>
          <w:sz w:val="23"/>
        </w:rPr>
        <w:t>(Liu &amp; Sun, 2019)</w:t>
      </w:r>
      <w:r>
        <w:rPr>
          <w:rFonts w:ascii="Times New Roman" w:hAnsi="Times New Roman" w:eastAsia="標楷體"/>
          <w:b w:val="0"/>
          <w:color w:val="1F4EC8"/>
          <w:sz w:val="23"/>
        </w:rPr>
        <w:t>(Yan et al., 2023)</w:t>
      </w:r>
      <w:r>
        <w:rPr>
          <w:rFonts w:ascii="Times New Roman" w:hAnsi="Times New Roman" w:eastAsia="標楷體"/>
          <w:b w:val="0"/>
          <w:color w:val="1F4EC8"/>
          <w:sz w:val="23"/>
        </w:rPr>
        <w:t>(Zhou et al., 2024)</w:t>
      </w:r>
      <w:r>
        <w:rPr>
          <w:rFonts w:ascii="Times New Roman" w:hAnsi="Times New Roman" w:eastAsia="標楷體"/>
          <w:b w:val="0"/>
          <w:color w:val="1F4EC8"/>
          <w:sz w:val="23"/>
        </w:rPr>
        <w:t>(Bai et al., 2022)</w:t>
      </w:r>
      <w:r>
        <w:rPr>
          <w:rFonts w:ascii="Times New Roman" w:hAnsi="Times New Roman" w:eastAsia="標楷體"/>
          <w:b w:val="0"/>
          <w:sz w:val="23"/>
        </w:rPr>
        <w:t xml:space="preserve">）→二階二分法收束：既有耦合研究聚焦開挖期圍岩；少數及襯砌者僅單調載重；同時滿足（i）水位循環載重（ii）襯砌裂縫顯式解析（iii）跨尺度互制之框架闕如。搭配 </w:t>
      </w:r>
      <w:r>
        <w:rPr>
          <w:rFonts w:ascii="Times New Roman" w:hAnsi="Times New Roman" w:eastAsia="標楷體"/>
          <w:b w:val="0"/>
          <w:color w:val="C00000"/>
          <w:sz w:val="23"/>
        </w:rPr>
        <w:t>圖4</w:t>
      </w:r>
      <w:r>
        <w:rPr>
          <w:rFonts w:ascii="Times New Roman" w:hAnsi="Times New Roman" w:eastAsia="標楷體"/>
          <w:b w:val="0"/>
          <w:sz w:val="23"/>
        </w:rPr>
        <w:t xml:space="preserve"> 系譜面板 This work 落點。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【重點：三要素句框出的空格形狀＝本文】</w:t>
      </w:r>
    </w:p>
    <w:p>
      <w:r>
        <w:rPr>
          <w:rFonts w:ascii="Times New Roman" w:hAnsi="Times New Roman" w:eastAsia="標楷體"/>
          <w:b w:val="0"/>
          <w:sz w:val="23"/>
        </w:rPr>
        <w:t>【三發精準踩點，全文精讀所得】①</w:t>
      </w:r>
      <w:r>
        <w:rPr>
          <w:rFonts w:ascii="Times New Roman" w:hAnsi="Times New Roman" w:eastAsia="標楷體"/>
          <w:b w:val="0"/>
          <w:color w:val="1F4EC8"/>
          <w:sz w:val="23"/>
        </w:rPr>
        <w:t>(Zhou et al., 2024)</w:t>
      </w:r>
      <w:r>
        <w:rPr>
          <w:rFonts w:ascii="Times New Roman" w:hAnsi="Times New Roman" w:eastAsia="標楷體"/>
          <w:b w:val="0"/>
          <w:sz w:val="23"/>
        </w:rPr>
        <w:t xml:space="preserve"> 為 TUST 最高被引 FDM-DEM 耦合，案例為海底隧道卻零滲流零孔壓、無襯砌無支護——我們正面填其兩大空白；②</w:t>
      </w:r>
      <w:r>
        <w:rPr>
          <w:rFonts w:ascii="Times New Roman" w:hAnsi="Times New Roman" w:eastAsia="標楷體"/>
          <w:b w:val="0"/>
          <w:color w:val="1F4EC8"/>
          <w:sz w:val="23"/>
        </w:rPr>
        <w:t>(Causse et al., 2015)</w:t>
      </w:r>
      <w:r>
        <w:rPr>
          <w:rFonts w:ascii="Times New Roman" w:hAnsi="Times New Roman" w:eastAsia="標楷體"/>
          <w:b w:val="0"/>
          <w:sz w:val="23"/>
        </w:rPr>
        <w:t xml:space="preserve"> 為坡隧依時互制先例，但限「開挖期×單調卸載×乾模型」，其摘要點名 hydrological contexts 卻未實作——缺口可精準到三個正交軸（營運期×循環水位×HM 耦合），比「開挖 vs 營運」單軸鋒利；③</w:t>
      </w:r>
      <w:r>
        <w:rPr>
          <w:rFonts w:ascii="Times New Roman" w:hAnsi="Times New Roman" w:eastAsia="標楷體"/>
          <w:b w:val="0"/>
          <w:color w:val="1F4EC8"/>
          <w:sz w:val="23"/>
        </w:rPr>
        <w:t>(Xin et al., 2024)</w:t>
      </w:r>
      <w:r>
        <w:rPr>
          <w:rFonts w:ascii="Times New Roman" w:hAnsi="Times New Roman" w:eastAsia="標楷體"/>
          <w:b w:val="0"/>
          <w:color w:val="1F4EC8"/>
          <w:sz w:val="23"/>
        </w:rPr>
        <w:t>(Tian et al., 2026)</w:t>
      </w:r>
      <w:r>
        <w:rPr>
          <w:rFonts w:ascii="Times New Roman" w:hAnsi="Times New Roman" w:eastAsia="標楷體"/>
          <w:b w:val="0"/>
          <w:sz w:val="23"/>
        </w:rPr>
        <w:t xml:space="preserve"> 之坡隧互制全為地震驅動。缺口句採群體式敘述、不點名個人（</w:t>
      </w:r>
      <w:r>
        <w:rPr>
          <w:rFonts w:ascii="Times New Roman" w:hAnsi="Times New Roman" w:eastAsia="標楷體"/>
          <w:b w:val="0"/>
          <w:color w:val="1F4EC8"/>
          <w:sz w:val="23"/>
        </w:rPr>
        <w:t>(Liu &amp; Sun, 2019)</w:t>
      </w:r>
      <w:r>
        <w:rPr>
          <w:rFonts w:ascii="Times New Roman" w:hAnsi="Times New Roman" w:eastAsia="標楷體"/>
          <w:b w:val="0"/>
          <w:sz w:val="23"/>
        </w:rPr>
        <w:t xml:space="preserve"> 雙漏斗式：應用界缺口×方法界缺口，交集才是立錐點）。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【重點：三個正交差異軸＋群體式敘述＝防守力加倍】</w:t>
      </w:r>
    </w:p>
    <w:p>
      <w:r>
        <w:rPr>
          <w:rFonts w:ascii="Times New Roman" w:hAnsi="Times New Roman" w:eastAsia="標楷體"/>
          <w:b/>
          <w:sz w:val="26"/>
        </w:rPr>
        <w:t>P5 核心</w:t>
      </w:r>
    </w:p>
    <w:p>
      <w:r>
        <w:rPr>
          <w:rFonts w:ascii="Times New Roman" w:hAnsi="Times New Roman" w:eastAsia="標楷體"/>
          <w:b w:val="0"/>
          <w:sz w:val="23"/>
        </w:rPr>
        <w:t>To address this gap→案例錨定句（資料規格式：年數/期數/測點數，</w:t>
      </w:r>
      <w:r>
        <w:rPr>
          <w:rFonts w:ascii="Times New Roman" w:hAnsi="Times New Roman" w:eastAsia="標楷體"/>
          <w:b w:val="0"/>
          <w:color w:val="1F4EC8"/>
          <w:sz w:val="23"/>
        </w:rPr>
        <w:t>(Chiu et al., 2017)</w:t>
      </w:r>
      <w:r>
        <w:rPr>
          <w:rFonts w:ascii="Times New Roman" w:hAnsi="Times New Roman" w:eastAsia="標楷體"/>
          <w:b w:val="0"/>
          <w:sz w:val="23"/>
        </w:rPr>
        <w:t xml:space="preserve"> P5 寫法）→方法鏈句→not only…but also 雙賣點句（機制揭示＋維養門檻；</w:t>
      </w:r>
      <w:r>
        <w:rPr>
          <w:rFonts w:ascii="Times New Roman" w:hAnsi="Times New Roman" w:eastAsia="標楷體"/>
          <w:b w:val="0"/>
          <w:color w:val="1F4EC8"/>
          <w:sz w:val="23"/>
        </w:rPr>
        <w:t>(Zhang et al., 2025)</w:t>
      </w:r>
      <w:r>
        <w:rPr>
          <w:rFonts w:ascii="Times New Roman" w:hAnsi="Times New Roman" w:eastAsia="標楷體"/>
          <w:b w:val="0"/>
          <w:color w:val="1F4EC8"/>
          <w:sz w:val="23"/>
        </w:rPr>
        <w:t>(Ou et al., 2025)</w:t>
      </w:r>
      <w:r>
        <w:rPr>
          <w:rFonts w:ascii="Times New Roman" w:hAnsi="Times New Roman" w:eastAsia="標楷體"/>
          <w:b w:val="0"/>
          <w:sz w:val="23"/>
        </w:rPr>
        <w:t xml:space="preserve"> TUST 高頻句式）→機制鏈口號預告（水位循環→有效應力反覆→裂縫棘輪擴展→性能劣化）。全段不用 novel/first；FDM-DEM 全名首現於此。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【重點：not only…but also＝TUST 行情句式；貢獻靠可攜數字自證】</w:t>
      </w:r>
    </w:p>
    <w:p>
      <w:r>
        <w:rPr>
          <w:rFonts w:ascii="Times New Roman" w:hAnsi="Times New Roman" w:eastAsia="標楷體"/>
          <w:b w:val="0"/>
          <w:sz w:val="23"/>
        </w:rPr>
        <w:t>【v3 兩件包裝技術】①**連字號商標名**（</w:t>
      </w:r>
      <w:r>
        <w:rPr>
          <w:rFonts w:ascii="Times New Roman" w:hAnsi="Times New Roman" w:eastAsia="標楷體"/>
          <w:b w:val="0"/>
          <w:color w:val="1F4EC8"/>
          <w:sz w:val="23"/>
        </w:rPr>
        <w:t>(Tian et al., 2026)</w:t>
      </w:r>
      <w:r>
        <w:rPr>
          <w:rFonts w:ascii="Times New Roman" w:hAnsi="Times New Roman" w:eastAsia="標楷體"/>
          <w:b w:val="0"/>
          <w:sz w:val="23"/>
        </w:rPr>
        <w:t xml:space="preserve"> 一篇鑄三個）：把機制鏈鑄成可引用短語「水位循環—圍岩劣化—襯砌開裂」，在摘要／前言末／互證小節／結論末**四點復誦**，三處解析度遞增（摘要短鏈→結果分視角重講→結論擴寫帶括號註解）；②**專名＋四聯能力清單疊句**（</w:t>
      </w:r>
      <w:r>
        <w:rPr>
          <w:rFonts w:ascii="Times New Roman" w:hAnsi="Times New Roman" w:eastAsia="標楷體"/>
          <w:b w:val="0"/>
          <w:color w:val="1F4EC8"/>
          <w:sz w:val="23"/>
        </w:rPr>
        <w:t>(Liu &amp; Sun, 2019)</w:t>
      </w:r>
      <w:r>
        <w:rPr>
          <w:rFonts w:ascii="Times New Roman" w:hAnsi="Times New Roman" w:eastAsia="標楷體"/>
          <w:b w:val="0"/>
          <w:sz w:val="23"/>
        </w:rPr>
        <w:t xml:space="preserve"> 式）：取短專名（如 cross-scale FDM–DEM lining framework）並固定四聯清單（裂縫萌生擴展／水位循環載重／跨尺度域傳遞／損傷—勁度回饋），於摘要、前言末、結論第 1 點逐字重複三次。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【重點：商標名四點復誦＋四聯清單三處疊句＝貢獻被記住的機制】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