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研究方法 v2（3 節＋假設前置區；細節引前作與碩論）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2.1 跨尺度架構與資料傳遞（含【建模假設前置區】＝A1 假設條款前置法）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2.2 門檻滯動潛變模式（引前作只寫差異：T 門檻掃描定準法、s1 T=1.0 物理錨點）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2.3 BPM 襯砌與損傷量化（G4 鑄造、錨定帶、D=斷鍵/registry、三軌分類、QA 一段）</w:t>
      </w:r>
    </w:p>
    <w:p>
      <w:r>
        <w:rPr>
          <w:rFonts w:ascii="Times New Roman" w:hAnsi="Times New Roman" w:eastAsia="標楷體"/>
          <w:b w:val="0"/>
          <w:sz w:val="23"/>
        </w:rPr>
        <w:t>雙向方法不設節——Ch2 末一句預告、全部內容在 5.1。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【重點：方法章只寫單向；雙向是討論】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