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標楷體"/>
          <w:b/>
          <w:sz w:val="30"/>
        </w:rPr>
        <w:t>方法各節核心（防禦式寫法）</w:t>
      </w:r>
    </w:p>
    <w:p>
      <w:r>
        <w:rPr>
          <w:rFonts w:ascii="Times New Roman" w:hAnsi="Times New Roman" w:eastAsia="標楷體"/>
          <w:b w:val="0"/>
          <w:sz w:val="23"/>
        </w:rPr>
        <w:t>2.1 開頭即設【建模假設清單】：編號條列（趨勢級 f=0.25、水位面家族情境、K0、邊界處理），每條掛 1–4 篇前例文獻當護盾（</w:t>
      </w:r>
      <w:r>
        <w:rPr>
          <w:rFonts w:ascii="Times New Roman" w:hAnsi="Times New Roman" w:eastAsia="標楷體"/>
          <w:b w:val="0"/>
          <w:color w:val="1F4EC8"/>
          <w:sz w:val="23"/>
        </w:rPr>
        <w:t>(Wu et al., 2024)</w:t>
      </w:r>
      <w:r>
        <w:rPr>
          <w:rFonts w:ascii="Times New Roman" w:hAnsi="Times New Roman" w:eastAsia="標楷體"/>
          <w:b w:val="0"/>
          <w:sz w:val="23"/>
        </w:rPr>
        <w:t xml:space="preserve"> General consideration 式；</w:t>
      </w:r>
      <w:r>
        <w:rPr>
          <w:rFonts w:ascii="Times New Roman" w:hAnsi="Times New Roman" w:eastAsia="標楷體"/>
          <w:b w:val="0"/>
          <w:color w:val="1F4EC8"/>
          <w:sz w:val="23"/>
        </w:rPr>
        <w:t>(Fahimifar &amp; Zareifard, 2009)</w:t>
      </w:r>
      <w:r>
        <w:rPr>
          <w:rFonts w:ascii="Times New Roman" w:hAnsi="Times New Roman" w:eastAsia="標楷體"/>
          <w:b w:val="0"/>
          <w:sz w:val="23"/>
        </w:rPr>
        <w:t xml:space="preserve"> 編號 bullet 式）——先講清楚，之後全文不再道歉。傳遞一致性（Kabsch＋應變檢核&lt;1e-9）寫成可信度主張。</w:t>
      </w:r>
      <w:r>
        <w:rPr>
          <w:rFonts w:ascii="Times New Roman" w:hAnsi="Times New Roman" w:eastAsia="標楷體"/>
          <w:b w:val="0"/>
          <w:sz w:val="23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1"/>
          <w:highlight w:val="yellow"/>
        </w:rPr>
        <w:t>【重點：假設=設定不是懺悔；一次講完不回頭】</w:t>
      </w:r>
    </w:p>
    <w:p>
      <w:r>
        <w:rPr>
          <w:rFonts w:ascii="Times New Roman" w:hAnsi="Times New Roman" w:eastAsia="標楷體"/>
          <w:b w:val="0"/>
          <w:sz w:val="23"/>
        </w:rPr>
        <w:t>2.2 核心：T 不是自由參數——乾季近零活化＝定準錨點（掃描法）；與前作 λ 的關係一句交代（尺度與圍壓域不同）。</w:t>
      </w:r>
      <w:r>
        <w:rPr>
          <w:rFonts w:ascii="Times New Roman" w:hAnsi="Times New Roman" w:eastAsia="標楷體"/>
          <w:b w:val="0"/>
          <w:sz w:val="23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1"/>
          <w:highlight w:val="yellow"/>
        </w:rPr>
        <w:t>【重點：門檻定準法=回應口委的正面設計】</w:t>
      </w:r>
    </w:p>
    <w:p>
      <w:r>
        <w:rPr>
          <w:rFonts w:ascii="Times New Roman" w:hAnsi="Times New Roman" w:eastAsia="標楷體"/>
          <w:b w:val="0"/>
          <w:sz w:val="23"/>
        </w:rPr>
        <w:t>2.3 核心：鍵結斷裂＝微損傷、三軌法聚合成工程裂縫（</w:t>
      </w:r>
      <w:r>
        <w:rPr>
          <w:rFonts w:ascii="Times New Roman" w:hAnsi="Times New Roman" w:eastAsia="標楷體"/>
          <w:b w:val="0"/>
          <w:color w:val="1F4EC8"/>
          <w:sz w:val="23"/>
        </w:rPr>
        <w:t>(Zheng et al., 2024)</w:t>
      </w:r>
      <w:r>
        <w:rPr>
          <w:rFonts w:ascii="Times New Roman" w:hAnsi="Times New Roman" w:eastAsia="標楷體"/>
          <w:b w:val="0"/>
          <w:sz w:val="23"/>
        </w:rPr>
        <w:t xml:space="preserve"> 同型定義）；分母凍結（registry 2.08M）使 D 可跨情境比較；QA（CONTROL-0 基線、gates）一段寫成方法特色。標定敘事引 </w:t>
      </w:r>
      <w:r>
        <w:rPr>
          <w:rFonts w:ascii="Times New Roman" w:hAnsi="Times New Roman" w:eastAsia="標楷體"/>
          <w:b w:val="0"/>
          <w:color w:val="1F4EC8"/>
          <w:sz w:val="23"/>
        </w:rPr>
        <w:t>(Potyondy &amp; Cundall, 2004)</w:t>
      </w:r>
      <w:r>
        <w:rPr>
          <w:rFonts w:ascii="Times New Roman" w:hAnsi="Times New Roman" w:eastAsia="標楷體"/>
          <w:b w:val="0"/>
          <w:color w:val="1F4EC8"/>
          <w:sz w:val="23"/>
        </w:rPr>
        <w:t>(Tsang et al., 2023)</w:t>
      </w:r>
      <w:r>
        <w:rPr>
          <w:rFonts w:ascii="Times New Roman" w:hAnsi="Times New Roman" w:eastAsia="標楷體"/>
          <w:b w:val="0"/>
          <w:sz w:val="23"/>
        </w:rPr>
        <w:t>。</w:t>
      </w:r>
      <w:r>
        <w:rPr>
          <w:rFonts w:ascii="Times New Roman" w:hAnsi="Times New Roman" w:eastAsia="標楷體"/>
          <w:b w:val="0"/>
          <w:sz w:val="23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1"/>
          <w:highlight w:val="yellow"/>
        </w:rPr>
        <w:t>【重點：QA 入正文=審稿人最買單的可信度證據】</w:t>
      </w:r>
    </w:p>
    <w:p>
      <w:r>
        <w:rPr>
          <w:rFonts w:ascii="Times New Roman" w:hAnsi="Times New Roman" w:eastAsia="標楷體"/>
          <w:b w:val="0"/>
          <w:sz w:val="23"/>
        </w:rPr>
        <w:t>【v3 三件方法章戰術】①**驗證階梯**（</w:t>
      </w:r>
      <w:r>
        <w:rPr>
          <w:rFonts w:ascii="Times New Roman" w:hAnsi="Times New Roman" w:eastAsia="標楷體"/>
          <w:b w:val="0"/>
          <w:color w:val="1F4EC8"/>
          <w:sz w:val="23"/>
        </w:rPr>
        <w:t>(Liu &amp; Sun, 2019)</w:t>
      </w:r>
      <w:r>
        <w:rPr>
          <w:rFonts w:ascii="Times New Roman" w:hAnsi="Times New Roman" w:eastAsia="標楷體"/>
          <w:b w:val="0"/>
          <w:sz w:val="23"/>
        </w:rPr>
        <w:t xml:space="preserve"> 三級／</w:t>
      </w:r>
      <w:r>
        <w:rPr>
          <w:rFonts w:ascii="Times New Roman" w:hAnsi="Times New Roman" w:eastAsia="標楷體"/>
          <w:b w:val="0"/>
          <w:color w:val="1F4EC8"/>
          <w:sz w:val="23"/>
        </w:rPr>
        <w:t>(Vazaios et al., 2019)</w:t>
      </w:r>
      <w:r>
        <w:rPr>
          <w:rFonts w:ascii="Times New Roman" w:hAnsi="Times New Roman" w:eastAsia="標楷體"/>
          <w:b w:val="0"/>
          <w:sz w:val="23"/>
        </w:rPr>
        <w:t xml:space="preserve"> 三級跳）：由簡至繁——解析解 benchmark（</w:t>
      </w:r>
      <w:r>
        <w:rPr>
          <w:rFonts w:ascii="Times New Roman" w:hAnsi="Times New Roman" w:eastAsia="標楷體"/>
          <w:b w:val="0"/>
          <w:color w:val="1F4EC8"/>
          <w:sz w:val="23"/>
        </w:rPr>
        <w:t>(Fahimifar &amp; Zareifard, 2009)</w:t>
      </w:r>
      <w:r>
        <w:rPr>
          <w:rFonts w:ascii="Times New Roman" w:hAnsi="Times New Roman" w:eastAsia="標楷體"/>
          <w:b w:val="0"/>
          <w:sz w:val="23"/>
        </w:rPr>
        <w:t xml:space="preserve"> 量級對照）→單元/構件級對照→現地監測比對，每級收一個量化誤差並以一句 verdict 收尾；第三級最值錢（讓模擬回答巡檢報告只能推測的裂縫—水位關聯）。②**粒徑反轉**（</w:t>
      </w:r>
      <w:r>
        <w:rPr>
          <w:rFonts w:ascii="Times New Roman" w:hAnsi="Times New Roman" w:eastAsia="標楷體"/>
          <w:b w:val="0"/>
          <w:color w:val="1F4EC8"/>
          <w:sz w:val="23"/>
        </w:rPr>
        <w:t>(Potyondy &amp; Cundall, 2004)</w:t>
      </w:r>
      <w:r>
        <w:rPr>
          <w:rFonts w:ascii="Times New Roman" w:hAnsi="Times New Roman" w:eastAsia="標楷體"/>
          <w:b w:val="0"/>
          <w:sz w:val="23"/>
        </w:rPr>
        <w:t xml:space="preserve"> 原典戰法）：DEM 最常被打的「粒徑怎麼選」反轉為物理內涵——兩尺度敏感度掃描→韌度與強度連動→據此選粒徑，並主動寫進摘要。③**零調參可信度**（</w:t>
      </w:r>
      <w:r>
        <w:rPr>
          <w:rFonts w:ascii="Times New Roman" w:hAnsi="Times New Roman" w:eastAsia="標楷體"/>
          <w:b w:val="0"/>
          <w:color w:val="1F4EC8"/>
          <w:sz w:val="23"/>
        </w:rPr>
        <w:t>(Lisjak et al., 2015)</w:t>
      </w:r>
      <w:r>
        <w:rPr>
          <w:rFonts w:ascii="Times New Roman" w:hAnsi="Times New Roman" w:eastAsia="標楷體"/>
          <w:b w:val="0"/>
          <w:sz w:val="23"/>
        </w:rPr>
        <w:t>）：接觸參數在實驗室/他案率定後**凍結不動**，</w:t>
      </w:r>
      <w:r>
        <w:rPr>
          <w:rFonts w:ascii="Times New Roman" w:hAnsi="Times New Roman" w:eastAsia="標楷體"/>
          <w:b w:val="0"/>
          <w:color w:val="008040"/>
          <w:sz w:val="23"/>
        </w:rPr>
        <w:t>表2</w:t>
      </w:r>
      <w:r>
        <w:rPr>
          <w:rFonts w:ascii="Times New Roman" w:hAnsi="Times New Roman" w:eastAsia="標楷體"/>
          <w:b w:val="0"/>
          <w:color w:val="008040"/>
          <w:sz w:val="23"/>
        </w:rPr>
        <w:t>表3</w:t>
      </w:r>
      <w:r>
        <w:rPr>
          <w:rFonts w:ascii="Times New Roman" w:hAnsi="Times New Roman" w:eastAsia="標楷體"/>
          <w:b w:val="0"/>
          <w:sz w:val="23"/>
        </w:rPr>
        <w:t xml:space="preserve"> 逐列註腳標出處——宣示預測性而非擬合性。</w:t>
      </w:r>
      <w:r>
        <w:rPr>
          <w:rFonts w:ascii="Times New Roman" w:hAnsi="Times New Roman" w:eastAsia="標楷體"/>
          <w:b w:val="0"/>
          <w:sz w:val="23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1"/>
          <w:highlight w:val="yellow"/>
        </w:rPr>
        <w:t>【重點：驗證階梯+粒徑反轉+參數凍結=方法章三道護城河】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