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案例各節核心（證據三明治佈局）</w:t>
      </w:r>
    </w:p>
    <w:p>
      <w:r>
        <w:rPr>
          <w:rFonts w:ascii="Times New Roman" w:hAnsi="Times New Roman" w:eastAsia="標楷體"/>
          <w:b w:val="0"/>
          <w:sz w:val="23"/>
        </w:rPr>
        <w:t>3.1 核心：水文＝驅動源的證據鏈（實測擺幅→擬合→W 面家族情境）；⚖ 主報告水位/雨量時序仍缺。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【重點：水文證據鏈是 D2 防線的地基】</w:t>
      </w:r>
    </w:p>
    <w:p>
      <w:r>
        <w:rPr>
          <w:rFonts w:ascii="Times New Roman" w:hAnsi="Times New Roman" w:eastAsia="標楷體"/>
          <w:b w:val="0"/>
          <w:sz w:val="23"/>
        </w:rPr>
        <w:t xml:space="preserve">3.2 核心：病徵「分型＋時序」——曲線段 957–992 m 為主對象；學 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證據三明治：本章擺實測病徵當問題證據，4.3 再回頭「與現地一致」閉環——單一資料集賣兩次（動機＋驗證）。震撼數字 hook 提煉 1 個（如裂縫成長率，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sz w:val="23"/>
        </w:rPr>
        <w:t xml:space="preserve"> 54–87 m/180 天式）。109 地震與水文分量並存＝4.3 對照的誠實伏筆。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【重點：分型+時序+一個震撼數字；伏筆先埋】</w:t>
      </w:r>
    </w:p>
    <w:p>
      <w:r>
        <w:rPr>
          <w:rFonts w:ascii="Times New Roman" w:hAnsi="Times New Roman" w:eastAsia="標楷體"/>
          <w:b w:val="0"/>
          <w:sz w:val="23"/>
        </w:rPr>
        <w:t>3.3 核心：每參數有孔號/試驗頁碼（202411 App11/13）；k×100 近壁帶（TT 建議已納）一句交代。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【重點：地質模型是參數出處】</w:t>
      </w:r>
    </w:p>
    <w:p>
      <w:r>
        <w:rPr>
          <w:rFonts w:ascii="Times New Roman" w:hAnsi="Times New Roman" w:eastAsia="標楷體"/>
          <w:b w:val="0"/>
          <w:sz w:val="23"/>
        </w:rPr>
        <w:t>【v3 三件案例章戰術】①**五段敘事鏈**（</w:t>
      </w:r>
      <w:r>
        <w:rPr>
          <w:rFonts w:ascii="Times New Roman" w:hAnsi="Times New Roman" w:eastAsia="標楷體"/>
          <w:b w:val="0"/>
          <w:color w:val="1F4EC8"/>
          <w:sz w:val="23"/>
        </w:rPr>
        <w:t>(Zhang et al., 2022)</w:t>
      </w:r>
      <w:r>
        <w:rPr>
          <w:rFonts w:ascii="Times New Roman" w:hAnsi="Times New Roman" w:eastAsia="標楷體"/>
          <w:b w:val="0"/>
          <w:sz w:val="23"/>
        </w:rPr>
        <w:t xml:space="preserve"> Liwaiao 全文模板）：普查母體統計（該文 11 隧道 634 裂縫）→代表案例→數值機制重現→模型-現場對照圖（其 Fig.21 為樞紐，同時完成驗證與缺陷免答）→治理對策；我們對應：林鐵隧道分級調查統計→#46 代表斷面→跨尺度模擬→同座標對照→維養建議。②**病徵量化到 mm**（</w:t>
      </w:r>
      <w:r>
        <w:rPr>
          <w:rFonts w:ascii="Times New Roman" w:hAnsi="Times New Roman" w:eastAsia="標楷體"/>
          <w:b w:val="0"/>
          <w:color w:val="1F4EC8"/>
          <w:sz w:val="23"/>
        </w:rPr>
        <w:t>(Tian et al., 2026)</w:t>
      </w:r>
      <w:r>
        <w:rPr>
          <w:rFonts w:ascii="Times New Roman" w:hAnsi="Times New Roman" w:eastAsia="標楷體"/>
          <w:b w:val="0"/>
          <w:sz w:val="23"/>
        </w:rPr>
        <w:t xml:space="preserve"> 證據三明治要求）：部位／寬度級距／年變率三欄全部給數字（如 &lt;3 mm、3–5 mm、&gt;5 mm 分級與 mm/yr 進展率），否則 4.3 無法做三項對點互證。③**單案例可信度引擎**（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2021)</w:t>
      </w:r>
      <w:r>
        <w:rPr>
          <w:rFonts w:ascii="Times New Roman" w:hAnsi="Times New Roman" w:eastAsia="標楷體"/>
          <w:b w:val="0"/>
          <w:sz w:val="23"/>
        </w:rPr>
        <w:t xml:space="preserve"> 式）：把 #46 放進林鐵全線分級母體（395 邊坡段／A-B 級隧道清單）對照，使個案升級為地層類型代表。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【重點：普查母體×代表案例×mm 級量化＝單案例可信度三支柱】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