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0"/>
        </w:rPr>
        <w:t>結果圖規劃</w:t>
      </w:r>
    </w:p>
    <w:p>
      <w:r>
        <w:rPr>
          <w:rFonts w:ascii="Times New Roman" w:hAnsi="Times New Roman" w:eastAsia="標楷體"/>
          <w:b w:val="0"/>
          <w:color w:val="C00000"/>
          <w:sz w:val="23"/>
        </w:rPr>
        <w:t>圖6</w:t>
      </w:r>
      <w:r>
        <w:rPr>
          <w:rFonts w:ascii="Times New Roman" w:hAnsi="Times New Roman" w:eastAsia="標楷體"/>
          <w:b w:val="0"/>
          <w:sz w:val="23"/>
        </w:rPr>
        <w:t xml:space="preserve"> τ-p 門檻｜</w:t>
      </w:r>
      <w:r>
        <w:rPr>
          <w:rFonts w:ascii="Times New Roman" w:hAnsi="Times New Roman" w:eastAsia="標楷體"/>
          <w:b w:val="0"/>
          <w:color w:val="C00000"/>
          <w:sz w:val="23"/>
        </w:rPr>
        <w:t>圖7</w:t>
      </w:r>
      <w:r>
        <w:rPr>
          <w:rFonts w:ascii="Times New Roman" w:hAnsi="Times New Roman" w:eastAsia="標楷體"/>
          <w:b w:val="0"/>
          <w:sz w:val="23"/>
        </w:rPr>
        <w:t xml:space="preserve"> 活化演化｜</w:t>
      </w:r>
      <w:r>
        <w:rPr>
          <w:rFonts w:ascii="Times New Roman" w:hAnsi="Times New Roman" w:eastAsia="標楷體"/>
          <w:b w:val="0"/>
          <w:color w:val="C00000"/>
          <w:sz w:val="23"/>
        </w:rPr>
        <w:t>圖8</w:t>
      </w:r>
      <w:r>
        <w:rPr>
          <w:rFonts w:ascii="Times New Roman" w:hAnsi="Times New Roman" w:eastAsia="標楷體"/>
          <w:b w:val="0"/>
          <w:sz w:val="23"/>
        </w:rPr>
        <w:t xml:space="preserve"> 排水暈｜</w:t>
      </w:r>
      <w:r>
        <w:rPr>
          <w:rFonts w:ascii="Times New Roman" w:hAnsi="Times New Roman" w:eastAsia="標楷體"/>
          <w:b w:val="0"/>
          <w:color w:val="C00000"/>
          <w:sz w:val="23"/>
        </w:rPr>
        <w:t>圖9</w:t>
      </w:r>
      <w:r>
        <w:rPr>
          <w:rFonts w:ascii="Times New Roman" w:hAnsi="Times New Roman" w:eastAsia="標楷體"/>
          <w:b w:val="0"/>
          <w:sz w:val="23"/>
        </w:rPr>
        <w:t xml:space="preserve"> 損傷史｜</w:t>
      </w:r>
      <w:r>
        <w:rPr>
          <w:rFonts w:ascii="Times New Roman" w:hAnsi="Times New Roman" w:eastAsia="標楷體"/>
          <w:b w:val="0"/>
          <w:color w:val="C00000"/>
          <w:sz w:val="23"/>
        </w:rPr>
        <w:t>圖10</w:t>
      </w:r>
      <w:r>
        <w:rPr>
          <w:rFonts w:ascii="Times New Roman" w:hAnsi="Times New Roman" w:eastAsia="標楷體"/>
          <w:b w:val="0"/>
          <w:sz w:val="23"/>
        </w:rPr>
        <w:t xml:space="preserve"> 外壓＋內力｜</w:t>
      </w:r>
      <w:r>
        <w:rPr>
          <w:rFonts w:ascii="Times New Roman" w:hAnsi="Times New Roman" w:eastAsia="標楷體"/>
          <w:b w:val="0"/>
          <w:color w:val="C00000"/>
          <w:sz w:val="23"/>
        </w:rPr>
        <w:t>圖11</w:t>
      </w:r>
      <w:r>
        <w:rPr>
          <w:rFonts w:ascii="Times New Roman" w:hAnsi="Times New Roman" w:eastAsia="標楷體"/>
          <w:b w:val="0"/>
          <w:sz w:val="23"/>
        </w:rPr>
        <w:t xml:space="preserve"> 裂縫分區分類（與圖2 同座標）｜</w:t>
      </w:r>
      <w:r>
        <w:rPr>
          <w:rFonts w:ascii="Times New Roman" w:hAnsi="Times New Roman" w:eastAsia="標楷體"/>
          <w:b w:val="0"/>
          <w:color w:val="C00000"/>
          <w:sz w:val="23"/>
        </w:rPr>
        <w:t>圖12</w:t>
      </w:r>
      <w:r>
        <w:rPr>
          <w:rFonts w:ascii="Times New Roman" w:hAnsi="Times New Roman" w:eastAsia="標楷體"/>
          <w:b w:val="0"/>
          <w:sz w:val="23"/>
        </w:rPr>
        <w:t xml:space="preserve"> 三維演化（hero）。本章 7 張=全文主戰場。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【重點：7 張各講一件事，不重工】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