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數值模擬 v2（單向成果 3 節；圖領句微結構貫穿）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4.1 水文循環下的坡地–隧道尺度響應（Δpp 檢核；活化乾衰減/雨爆發/退凍結三尺度互證）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4.2 襯砌損傷與裂縫發展（損傷史→外壓/內力型態→分區分類→三維演化）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4.3 模擬與現地對照（同座標展開；誠實限定框）</w:t>
      </w:r>
    </w:p>
    <w:p>
      <w:r>
        <w:rPr>
          <w:rFonts w:ascii="Times New Roman" w:hAnsi="Times New Roman" w:eastAsia="標楷體"/>
          <w:b w:val="0"/>
          <w:sz w:val="23"/>
        </w:rPr>
        <w:t>每結果段落微結構（前作規則）：</w:t>
      </w:r>
      <w:r>
        <w:rPr>
          <w:rFonts w:ascii="Times New Roman" w:hAnsi="Times New Roman" w:eastAsia="標楷體"/>
          <w:b w:val="0"/>
          <w:color w:val="C00000"/>
          <w:sz w:val="23"/>
        </w:rPr>
        <w:t>圖X</w:t>
      </w:r>
      <w:r>
        <w:rPr>
          <w:rFonts w:ascii="Times New Roman" w:hAnsi="Times New Roman" w:eastAsia="標楷體"/>
          <w:b w:val="0"/>
          <w:sz w:val="23"/>
        </w:rPr>
        <w:t xml:space="preserve"> 領句→現象→量化（倍率/區間）→力學詮釋→回扣；每節末「綜合前述」收束句。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【重點：圖領句+倍率量化+綜合前述=結果章文法】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