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結果文獻掛載</w:t>
      </w:r>
    </w:p>
    <w:p>
      <w:r>
        <w:rPr>
          <w:rFonts w:ascii="Times New Roman" w:hAnsi="Times New Roman" w:eastAsia="標楷體"/>
          <w:b w:val="0"/>
          <w:sz w:val="23"/>
        </w:rPr>
        <w:t>結果章少引文獻；僅機制詮釋處回扣 P2/P3 已引文獻（迴聲不新增）。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【重點：結果章不開新引用戰線】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