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討論各節核心（包裝落點）</w:t>
      </w:r>
    </w:p>
    <w:p>
      <w:r>
        <w:rPr>
          <w:rFonts w:ascii="Times New Roman" w:hAnsi="Times New Roman" w:eastAsia="標楷體"/>
          <w:b w:val="0"/>
          <w:sz w:val="23"/>
        </w:rPr>
        <w:t>5.1 核心：回饋使損傷自增強（2.83×）——但誠實區分回饋效應與細時距路徑效應（L0 未跑前用「初探」語級＋A3 future work 1:1 鏡像）；力回饋過定性論證（Picard 發散實證）寫成方法貢獻。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【重點：初探語級；分解留 future work】</w:t>
      </w:r>
    </w:p>
    <w:p>
      <w:r>
        <w:rPr>
          <w:rFonts w:ascii="Times New Roman" w:hAnsi="Times New Roman" w:eastAsia="標楷體"/>
          <w:b w:val="0"/>
          <w:sz w:val="23"/>
        </w:rPr>
        <w:t>5.2 核心（B1-B6 包裝落點集中地）：f=0.25 用 A4 趨勢級免責框（</w:t>
      </w:r>
      <w:r>
        <w:rPr>
          <w:rFonts w:ascii="Times New Roman" w:hAnsi="Times New Roman" w:eastAsia="標楷體"/>
          <w:b w:val="0"/>
          <w:color w:val="1F4EC8"/>
          <w:sz w:val="23"/>
        </w:rPr>
        <w:t>(Barla et al., 2012)</w:t>
      </w:r>
      <w:r>
        <w:rPr>
          <w:rFonts w:ascii="Times New Roman" w:hAnsi="Times New Roman" w:eastAsia="標楷體"/>
          <w:b w:val="0"/>
          <w:sz w:val="23"/>
        </w:rPr>
        <w:t xml:space="preserve"> average-response 式）；100m 擺幅用 A2 scope＋needs-based（</w:t>
      </w:r>
      <w:r>
        <w:rPr>
          <w:rFonts w:ascii="Times New Roman" w:hAnsi="Times New Roman" w:eastAsia="標楷體"/>
          <w:b w:val="0"/>
          <w:color w:val="1F4EC8"/>
          <w:sz w:val="23"/>
        </w:rPr>
        <w:t>(Tarifard et al., 2022)</w:t>
      </w:r>
      <w:r>
        <w:rPr>
          <w:rFonts w:ascii="Times New Roman" w:hAnsi="Times New Roman" w:eastAsia="標楷體"/>
          <w:b w:val="0"/>
          <w:sz w:val="23"/>
        </w:rPr>
        <w:t xml:space="preserve"> 式）；K0 引文護盾＋一句敏感度；Mitani 解析解對照段：以 </w:t>
      </w:r>
      <w:r>
        <w:rPr>
          <w:rFonts w:ascii="Times New Roman" w:hAnsi="Times New Roman" w:eastAsia="標楷體"/>
          <w:b w:val="0"/>
          <w:color w:val="1F4EC8"/>
          <w:sz w:val="23"/>
        </w:rPr>
        <w:t>(Fahimifar &amp; Zareifard, 2009)</w:t>
      </w:r>
      <w:r>
        <w:rPr>
          <w:rFonts w:ascii="Times New Roman" w:hAnsi="Times New Roman" w:eastAsia="標楷體"/>
          <w:b w:val="0"/>
          <w:sz w:val="23"/>
        </w:rPr>
        <w:t xml:space="preserve"> 做量級 sanity check。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【重點：每個被質疑過的參數都有正面段落】</w:t>
      </w:r>
    </w:p>
    <w:p>
      <w:r>
        <w:rPr>
          <w:rFonts w:ascii="Times New Roman" w:hAnsi="Times New Roman" w:eastAsia="標楷體"/>
          <w:b w:val="0"/>
          <w:sz w:val="23"/>
        </w:rPr>
        <w:t>5.3 核心：水位相位＝損傷開關→營運隧道地下水管理即襯砌損傷管理；連結分級調查制度（維養決策者視角收尾＝TUST 甜蜜點）；</w:t>
      </w:r>
      <w:r>
        <w:rPr>
          <w:rFonts w:ascii="Times New Roman" w:hAnsi="Times New Roman" w:eastAsia="標楷體"/>
          <w:b w:val="0"/>
          <w:color w:val="C00000"/>
          <w:sz w:val="23"/>
        </w:rPr>
        <w:t>圖15</w:t>
      </w:r>
      <w:r>
        <w:rPr>
          <w:rFonts w:ascii="Times New Roman" w:hAnsi="Times New Roman" w:eastAsia="標楷體"/>
          <w:b w:val="0"/>
          <w:sz w:val="23"/>
        </w:rPr>
        <w:t xml:space="preserve"> 滯動泵 bookend（呼應 </w:t>
      </w:r>
      <w:r>
        <w:rPr>
          <w:rFonts w:ascii="Times New Roman" w:hAnsi="Times New Roman" w:eastAsia="標楷體"/>
          <w:b w:val="0"/>
          <w:color w:val="C00000"/>
          <w:sz w:val="23"/>
        </w:rPr>
        <w:t>圖4</w:t>
      </w:r>
      <w:r>
        <w:rPr>
          <w:rFonts w:ascii="Times New Roman" w:hAnsi="Times New Roman" w:eastAsia="標楷體"/>
          <w:b w:val="0"/>
          <w:color w:val="C00000"/>
          <w:sz w:val="23"/>
        </w:rPr>
        <w:t>圖6</w:t>
      </w:r>
      <w:r>
        <w:rPr>
          <w:rFonts w:ascii="Times New Roman" w:hAnsi="Times New Roman" w:eastAsia="標楷體"/>
          <w:b w:val="0"/>
          <w:sz w:val="23"/>
        </w:rPr>
        <w:t>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【重點：工程含義收尾；概念圖 bookend】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