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標楷體"/>
          <w:b/>
          <w:sz w:val="32"/>
        </w:rPr>
        <w:t>全文圖表總覽（15 圖＋5 表；上限 16 圖）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  <w:b/>
                <w:sz w:val="22"/>
              </w:rPr>
              <w:t>圖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  <w:b/>
                <w:sz w:val="22"/>
              </w:rPr>
              <w:t>內容與故事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  <w:b/>
                <w:sz w:val="22"/>
              </w:rPr>
              <w:t>素材／加工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  <w:b/>
                <w:sz w:val="22"/>
              </w:rPr>
              <w:t>狀態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Fig 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場址與案例綜覽：林鐵×曲線隧道×坡地系統空間關係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附圖95 圈繪＋附圖96 剖面＋App5 幾何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新繪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Fig 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#46 現地病徵時序：三期展開圖＋裂縫照片＋裂縫計緩剪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附圖93/97/100–102＋裂縫計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重組英化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Fig 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水文驅動：水位計年擺幅→W 面家族→模擬情境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碩論表4-1＋擬合圖（⚖需主報告時序）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改繪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Fig 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跨尺度方法流程＋資料傳遞（虛線預告 D→E）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圖5-01 擴充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改造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Fig 5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三尺度模型三面板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圖5-02+03+04 合併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合併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Fig 6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τ-p 門檻機制：濕季應力雲移入門檻帶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圖5-14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現成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Fig 7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門檻活化演化：乾衰減→雨爆發→退凍結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圖5-08+5-12 縮幀合併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合併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Fig 8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近場排水暈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圖5-11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現成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Fig 9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襯砌損傷史 A_wet/A_frz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圖5-15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現成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Fig 10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襯砌外壓＋內力：946 kPa 帶＋1,029 kN/m 力偶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圖5-16+5-17 合併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合併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Fig 11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裂縫發展與分類（與 Fig2 同座標展開設計）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圖5-19 改造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改造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Fig 12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三維裂縫演化（hero）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圖5-20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現成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Fig 13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雙向耦合方法＋單雙向時間線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FIG06-01 期刊化＋小示意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改造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Fig 14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D(s,y) 損傷圖演化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FIG06-02 期刊化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改造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Fig 15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滯動損傷泵概念圖（bookend）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新繪（pptx 示意，前作 Fig12 手法）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新繪</w:t>
            </w:r>
          </w:p>
        </w:tc>
      </w:tr>
    </w:tbl>
    <w:p>
      <w:r>
        <w:rPr>
          <w:rFonts w:ascii="Times New Roman" w:hAnsi="Times New Roman" w:eastAsia="標楷體"/>
          <w:b w:val="0"/>
          <w:sz w:val="24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/>
                <w:sz w:val="22"/>
              </w:rPr>
              <w:t>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/>
                <w:sz w:val="22"/>
              </w:rPr>
              <w:t>內容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/>
                <w:sz w:val="22"/>
              </w:rPr>
              <w:t>備註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Table 1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文獻案例彙編（Author/Case/Lithology/Model/Method/Focus/Issue/Highlight 8 欄）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中性、不含 this study 行（前作教訓）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Table 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三尺度模型組態與參數（含出處欄）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回應 K0/參數來源問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Table 3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門檻與潛變參數（定準依據＋物理意義欄）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回應門檻依據問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Table 4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現地調查監測資料彙整（LiDAR 兩期/裂縫計/鑽探/試驗）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案例可信度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Table 5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單向 vs 雙向逐階段對照（含 QA gates 摘要）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討論章</w:t>
            </w:r>
          </w:p>
        </w:tc>
      </w:tr>
    </w:tbl>
    <w:p>
      <w:pPr>
        <w:spacing w:after="240"/>
      </w:pPr>
      <w:r>
        <w:rPr>
          <w:rFonts w:ascii="Times New Roman" w:hAnsi="Times New Roman" w:eastAsia="標楷體"/>
          <w:b/>
          <w:color w:val="C00000"/>
          <w:sz w:val="24"/>
        </w:rPr>
        <w:t>【⚖ 待裁決】</w:t>
      </w:r>
      <w:r>
        <w:rPr>
          <w:rFonts w:ascii="Times New Roman" w:hAnsi="Times New Roman" w:eastAsia="標楷體"/>
          <w:b w:val="0"/>
          <w:sz w:val="24"/>
        </w:rPr>
        <w:t>15 圖可否？（可併 Fig7+8 成 14 張；上限 16）表 5 張可否？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