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碩論→期刊濃縮對照表（第一刀：解析解全砍）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碩論內容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期刊處置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/>
                <w:sz w:val="22"/>
              </w:rPr>
              <w:t>說明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Ch1 緒論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濃縮入前言 P1/P5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研究方法沿革敘述刪；動機直接接工程問題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Ch2 文獻回顧—解析解相關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【砍】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Wade 指令；僅 Fahimifar 2009 留作討論章量級對照一句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Ch2 文獻回顧—潛變理論/模型系譜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砍，引前作代替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期刊前言以 40–50 篇文獻重建，不做回顧章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Ch3 案例（TT 版）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濃縮入期刊 Ch3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保留病徵分類＋監測時序；沿革/制度細節刪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Ch4 多尺度地質模型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濃縮為期刊 3.3 一節＋Table 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建模過程細節刪；只留組態＋參數出處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Ch5.1–5.2 方法（三模型/傳遞）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濃縮入期刊 Ch2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Kabsch/門檻/BPM 各一段；QA 一段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Ch5.3–5.4 單向成果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期刊 Ch4（圖 21→9 張）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刪過程性圖（5-06/07/09/10/13）；⚖ 5-10 驅動場驗證圖是否保留？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Ch5.5 侷限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拆入討論 5.2＋結論限制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——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Ch6 結論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重寫（5 貢獻＋2 限制）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不復述前文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（碩論無）雙向耦合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期刊 5.1 新寫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 w:eastAsia="標楷體"/>
                <w:b w:val="0"/>
                <w:sz w:val="21"/>
              </w:rPr>
              <w:t>06 成果＋初探定位</w:t>
            </w:r>
          </w:p>
        </w:tc>
      </w:tr>
    </w:tbl>
    <w:p>
      <w:pPr>
        <w:spacing w:after="240"/>
      </w:pPr>
      <w:r>
        <w:rPr>
          <w:rFonts w:ascii="Times New Roman" w:hAnsi="Times New Roman" w:eastAsia="標楷體"/>
          <w:b/>
          <w:color w:val="C00000"/>
          <w:sz w:val="24"/>
        </w:rPr>
        <w:t>【⚖ 待裁決】</w:t>
      </w:r>
      <w:r>
        <w:rPr>
          <w:rFonts w:ascii="Times New Roman" w:hAnsi="Times New Roman" w:eastAsia="標楷體"/>
          <w:b w:val="0"/>
          <w:sz w:val="24"/>
        </w:rPr>
        <w:t>還要濃縮/砍什麼？候選：①坡地尺度成果篇幅（4.1 一段 vs 完整小節）②大模驅動場驗證圖 5-10 ③QA/gates 寫入深度（一段 vs 表格化入 Table 5）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