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研究方法——Table 規劃</w:t>
      </w:r>
    </w:p>
    <w:p>
      <w:r>
        <w:rPr>
          <w:rFonts w:ascii="Times New Roman" w:hAnsi="Times New Roman" w:eastAsia="標楷體"/>
          <w:b w:val="0"/>
          <w:sz w:val="24"/>
        </w:rPr>
        <w:t>Table 2（模型組態＋參數＋出處欄）；Table 3（門檻與潛變參數＋物理意義欄）。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