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研究案例——子節架構</w:t>
      </w:r>
    </w:p>
    <w:p>
      <w:r>
        <w:rPr>
          <w:rFonts w:ascii="Times New Roman" w:hAnsi="Times New Roman" w:eastAsia="標楷體"/>
          <w:b/>
          <w:sz w:val="24"/>
        </w:rPr>
        <w:t>3.1 場址地質與水文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林鐵沿革一句；南庄層砂頁岩互層＋崩積層；水位計年擺幅與擬合（Fig3）</w:t>
      </w:r>
    </w:p>
    <w:p>
      <w:r>
        <w:rPr>
          <w:rFonts w:ascii="Times New Roman" w:hAnsi="Times New Roman" w:eastAsia="標楷體"/>
          <w:b/>
          <w:sz w:val="24"/>
        </w:rPr>
        <w:t>3.2 #46 隧道病徵與監測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修復履歷時間軸；LiDAR 兩期分級；裂縫計緩剪；三期展開圖（Fig2）；病徵分型</w:t>
      </w:r>
    </w:p>
    <w:p>
      <w:r>
        <w:rPr>
          <w:rFonts w:ascii="Times New Roman" w:hAnsi="Times New Roman" w:eastAsia="標楷體"/>
          <w:b/>
          <w:sz w:val="24"/>
        </w:rPr>
        <w:t>3.3 三尺度地質→數值模型</w:t>
      </w:r>
    </w:p>
    <w:p>
      <w:pPr>
        <w:ind w:left="360"/>
      </w:pPr>
      <w:r>
        <w:rPr>
          <w:rFonts w:ascii="Times New Roman" w:hAnsi="Times New Roman" w:eastAsia="標楷體"/>
          <w:b w:val="0"/>
          <w:sz w:val="22"/>
        </w:rPr>
        <w:t>地層/參數（Table 2 引用）；模型組態（Fig5 引用）；k×100 近壁帶（TT 建議已納）</w:t>
      </w:r>
    </w:p>
    <w:p>
      <w:pPr>
        <w:spacing w:after="240"/>
      </w:pPr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子節切法與順序？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