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研究案例——段落核心</w:t>
      </w:r>
    </w:p>
    <w:p>
      <w:r>
        <w:rPr>
          <w:rFonts w:ascii="Times New Roman" w:hAnsi="Times New Roman" w:eastAsia="標楷體"/>
          <w:b w:val="0"/>
          <w:sz w:val="24"/>
        </w:rPr>
        <w:t>・3.1 核心：水文＝驅動源的證據鏈（水位計實測擺幅→W 面家族→情境放大論證）。</w:t>
      </w:r>
    </w:p>
    <w:p>
      <w:r>
        <w:rPr>
          <w:rFonts w:ascii="Times New Roman" w:hAnsi="Times New Roman" w:eastAsia="標楷體"/>
          <w:b w:val="0"/>
          <w:sz w:val="24"/>
        </w:rPr>
        <w:t>・3.2 核心：病徵『分型＋時序』（前作分型手法）——曲線段 957–992 m 為主對象；109 地震與水文損傷分量並存，為 4.3 對照留伏筆。</w:t>
      </w:r>
    </w:p>
    <w:p>
      <w:r>
        <w:rPr>
          <w:rFonts w:ascii="Times New Roman" w:hAnsi="Times New Roman" w:eastAsia="標楷體"/>
          <w:b w:val="0"/>
          <w:sz w:val="24"/>
        </w:rPr>
        <w:t>・3.3 核心：地質模型是數值模型的出處，不是背景裝飾——每參數有孔號/試驗頁碼。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