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數值模擬——段落核心</w:t>
      </w:r>
    </w:p>
    <w:p>
      <w:r>
        <w:rPr>
          <w:rFonts w:ascii="Times New Roman" w:hAnsi="Times New Roman" w:eastAsia="標楷體"/>
          <w:b w:val="0"/>
          <w:sz w:val="24"/>
        </w:rPr>
        <w:t>・4.1 核心：三尺度互證＝滯動不是單一模型的巧合。段落微結構照前作：圖領句→現象→量化（倍率/區間）→力學詮釋→回扣。</w:t>
      </w:r>
    </w:p>
    <w:p>
      <w:r>
        <w:rPr>
          <w:rFonts w:ascii="Times New Roman" w:hAnsi="Times New Roman" w:eastAsia="標楷體"/>
          <w:b w:val="0"/>
          <w:sz w:val="24"/>
        </w:rPr>
        <w:t>・4.2 核心：損傷有節律（相位控制）、有空間（帶狀分區）、有型態（環向主導）。</w:t>
      </w:r>
    </w:p>
    <w:p>
      <w:r>
        <w:rPr>
          <w:rFonts w:ascii="Times New Roman" w:hAnsi="Times New Roman" w:eastAsia="標楷體"/>
          <w:b w:val="0"/>
          <w:sz w:val="24"/>
        </w:rPr>
        <w:t>・4.3 核心：對照層級＝分佈與分區，非逐條裂縫；現地含地震/施工縫分量、模擬為水文分量——寫清楚推論範圍。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