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標楷體"/>
          <w:b/>
          <w:sz w:val="32"/>
        </w:rPr>
        <w:t>寫作工藝手冊（evidence-first 批改版）</w:t>
      </w:r>
    </w:p>
    <w:p>
      <w:r>
        <w:rPr>
          <w:rFonts w:ascii="Times New Roman" w:hAnsi="Times New Roman" w:eastAsia="標楷體"/>
          <w:b w:val="0"/>
          <w:sz w:val="22"/>
        </w:rPr>
        <w:t>本手冊保留 FABLE 對題目、前言與圖領句的有效觀察，但把「缺陷包裝」改為「範圍、假設與不確定性透明化」。文獻的寫作技巧可以參考，不能取代本研究自己的證據；同刊慣例也不是隱藏限制或放大 novelty 的理由。</w:t>
      </w:r>
      <w:r>
        <w:rPr>
          <w:rFonts w:ascii="Times New Roman" w:hAnsi="Times New Roman" w:eastAsia="標楷體"/>
          <w:b w:val="0"/>
          <w:sz w:val="22"/>
        </w:rPr>
        <w:t xml:space="preserve">　</w:t>
      </w:r>
      <w:r>
        <w:rPr>
          <w:rFonts w:ascii="Times New Roman" w:hAnsi="Times New Roman" w:eastAsia="標楷體"/>
          <w:b w:val="0"/>
          <w:color w:val="000000"/>
          <w:sz w:val="20"/>
          <w:highlight w:val="yellow"/>
        </w:rPr>
        <w:t>【重點：寫作目標不是把主張寫強，而是讓主張強度與證據強度完全對齊】</w:t>
      </w:r>
    </w:p>
    <w:p>
      <w:pPr>
        <w:pStyle w:val="Heading2"/>
      </w:pPr>
      <w:r>
        <w:rPr>
          <w:rFonts w:ascii="Times New Roman" w:hAnsi="Times New Roman" w:eastAsia="標楷體"/>
          <w:b/>
          <w:sz w:val="28"/>
        </w:rPr>
        <w:t>一、主張—證據距離</w:t>
      </w:r>
    </w:p>
    <w:tbl>
      <w:tblPr>
        <w:tblStyle w:val="TableGrid"/>
        <w:tblW w:type="dxa" w:w="9548"/>
        <w:jc w:val="center"/>
        <w:tblLayout w:type="fixed"/>
        <w:tblLook w:firstColumn="1" w:firstRow="1" w:lastColumn="0" w:lastRow="0" w:noHBand="0" w:noVBand="1" w:val="04A0"/>
        <w:tblInd w:w="100" w:type="dxa"/>
      </w:tblPr>
      <w:tblGrid>
        <w:gridCol w:w="2351"/>
        <w:gridCol w:w="3990"/>
        <w:gridCol w:w="3207"/>
      </w:tblGrid>
      <w:tr>
        <w:trPr>
          <w:tblHeader/>
        </w:trPr>
        <w:tc>
          <w:tcPr>
            <w:tcW w:type="dxa" w:w="2351"/>
            <w:vAlign w:val="center"/>
            <w:tcMar>
              <w:top w:w="80" w:type="dxa"/>
              <w:start w:w="100" w:type="dxa"/>
              <w:bottom w:w="80" w:type="dxa"/>
              <w:end w:w="100" w:type="dxa"/>
            </w:tcMar>
          </w:tcPr>
          <w:p>
            <w:r/>
            <w:r>
              <w:rPr>
                <w:rFonts w:ascii="Times New Roman" w:hAnsi="Times New Roman" w:eastAsia="標楷體"/>
                <w:b/>
                <w:sz w:val="18"/>
              </w:rPr>
              <w:t>欲寫的句子</w:t>
            </w:r>
          </w:p>
        </w:tc>
        <w:tc>
          <w:tcPr>
            <w:tcW w:type="dxa" w:w="3990"/>
            <w:vAlign w:val="center"/>
            <w:tcMar>
              <w:top w:w="80" w:type="dxa"/>
              <w:start w:w="100" w:type="dxa"/>
              <w:bottom w:w="80" w:type="dxa"/>
              <w:end w:w="100" w:type="dxa"/>
            </w:tcMar>
          </w:tcPr>
          <w:p>
            <w:r/>
            <w:r>
              <w:rPr>
                <w:rFonts w:ascii="Times New Roman" w:hAnsi="Times New Roman" w:eastAsia="標楷體"/>
                <w:b/>
                <w:sz w:val="18"/>
              </w:rPr>
              <w:t>最低所需證據</w:t>
            </w:r>
          </w:p>
        </w:tc>
        <w:tc>
          <w:tcPr>
            <w:tcW w:type="dxa" w:w="3207"/>
            <w:vAlign w:val="center"/>
            <w:tcMar>
              <w:top w:w="80" w:type="dxa"/>
              <w:start w:w="100" w:type="dxa"/>
              <w:bottom w:w="80" w:type="dxa"/>
              <w:end w:w="100" w:type="dxa"/>
            </w:tcMar>
          </w:tcPr>
          <w:p>
            <w:r/>
            <w:r>
              <w:rPr>
                <w:rFonts w:ascii="Times New Roman" w:hAnsi="Times New Roman" w:eastAsia="標楷體"/>
                <w:b/>
                <w:sz w:val="18"/>
              </w:rPr>
              <w:t>本研究目前允許的語氣</w:t>
            </w:r>
          </w:p>
        </w:tc>
      </w:tr>
      <w:tr>
        <w:trPr>
          <w:cantSplit/>
        </w:trPr>
        <w:tc>
          <w:tcPr>
            <w:tcW w:type="dxa" w:w="2351"/>
            <w:vAlign w:val="center"/>
            <w:tcMar>
              <w:top w:w="80" w:type="dxa"/>
              <w:start w:w="100" w:type="dxa"/>
              <w:bottom w:w="80" w:type="dxa"/>
              <w:end w:w="100" w:type="dxa"/>
            </w:tcMar>
          </w:tcPr>
          <w:p>
            <w:r/>
            <w:r>
              <w:rPr>
                <w:rFonts w:ascii="Times New Roman" w:hAnsi="Times New Roman" w:eastAsia="標楷體"/>
                <w:b w:val="0"/>
                <w:sz w:val="17"/>
              </w:rPr>
              <w:t>現地病害存在／集中</w:t>
            </w:r>
          </w:p>
        </w:tc>
        <w:tc>
          <w:tcPr>
            <w:tcW w:type="dxa" w:w="3990"/>
            <w:vAlign w:val="center"/>
            <w:tcMar>
              <w:top w:w="80" w:type="dxa"/>
              <w:start w:w="100" w:type="dxa"/>
              <w:bottom w:w="80" w:type="dxa"/>
              <w:end w:w="100" w:type="dxa"/>
            </w:tcMar>
          </w:tcPr>
          <w:p>
            <w:r/>
            <w:r>
              <w:rPr>
                <w:rFonts w:ascii="Times New Roman" w:hAnsi="Times New Roman" w:eastAsia="標楷體"/>
                <w:b w:val="0"/>
                <w:sz w:val="17"/>
              </w:rPr>
              <w:t>具日期、座標、範圍與精度的 LiDAR／展開圖／裂縫計</w:t>
            </w:r>
          </w:p>
        </w:tc>
        <w:tc>
          <w:tcPr>
            <w:tcW w:type="dxa" w:w="3207"/>
            <w:vAlign w:val="center"/>
            <w:tcMar>
              <w:top w:w="80" w:type="dxa"/>
              <w:start w:w="100" w:type="dxa"/>
              <w:bottom w:w="80" w:type="dxa"/>
              <w:end w:w="100" w:type="dxa"/>
            </w:tcMar>
          </w:tcPr>
          <w:p>
            <w:r/>
            <w:r>
              <w:rPr>
                <w:rFonts w:ascii="Times New Roman" w:hAnsi="Times New Roman" w:eastAsia="標楷體"/>
                <w:b w:val="0"/>
                <w:sz w:val="17"/>
              </w:rPr>
              <w:t>observed、documented、concentrated in</w:t>
            </w:r>
          </w:p>
        </w:tc>
      </w:tr>
      <w:tr>
        <w:trPr>
          <w:cantSplit/>
        </w:trPr>
        <w:tc>
          <w:tcPr>
            <w:tcW w:type="dxa" w:w="2351"/>
            <w:vAlign w:val="center"/>
            <w:tcMar>
              <w:top w:w="80" w:type="dxa"/>
              <w:start w:w="100" w:type="dxa"/>
              <w:bottom w:w="80" w:type="dxa"/>
              <w:end w:w="100" w:type="dxa"/>
            </w:tcMar>
          </w:tcPr>
          <w:p>
            <w:r/>
            <w:r>
              <w:rPr>
                <w:rFonts w:ascii="Times New Roman" w:hAnsi="Times New Roman" w:eastAsia="標楷體"/>
                <w:b w:val="0"/>
                <w:sz w:val="17"/>
              </w:rPr>
              <w:t>地下水是現地成因</w:t>
            </w:r>
          </w:p>
        </w:tc>
        <w:tc>
          <w:tcPr>
            <w:tcW w:type="dxa" w:w="3990"/>
            <w:vAlign w:val="center"/>
            <w:tcMar>
              <w:top w:w="80" w:type="dxa"/>
              <w:start w:w="100" w:type="dxa"/>
              <w:bottom w:w="80" w:type="dxa"/>
              <w:end w:w="100" w:type="dxa"/>
            </w:tcMar>
          </w:tcPr>
          <w:p>
            <w:r/>
            <w:r>
              <w:rPr>
                <w:rFonts w:ascii="Times New Roman" w:hAnsi="Times New Roman" w:eastAsia="標楷體"/>
                <w:b w:val="0"/>
                <w:sz w:val="17"/>
              </w:rPr>
              <w:t>同步水位—坡移—裂縫時序、替代成因排除或反事實對照</w:t>
            </w:r>
          </w:p>
        </w:tc>
        <w:tc>
          <w:tcPr>
            <w:tcW w:type="dxa" w:w="3207"/>
            <w:vAlign w:val="center"/>
            <w:tcMar>
              <w:top w:w="80" w:type="dxa"/>
              <w:start w:w="100" w:type="dxa"/>
              <w:bottom w:w="80" w:type="dxa"/>
              <w:end w:w="100" w:type="dxa"/>
            </w:tcMar>
          </w:tcPr>
          <w:p>
            <w:r/>
            <w:r>
              <w:rPr>
                <w:rFonts w:ascii="Times New Roman" w:hAnsi="Times New Roman" w:eastAsia="標楷體"/>
                <w:b w:val="0"/>
                <w:sz w:val="17"/>
              </w:rPr>
              <w:t>目前只寫 coexisted with／investigated under，不寫 caused by</w:t>
            </w:r>
          </w:p>
        </w:tc>
      </w:tr>
      <w:tr>
        <w:trPr>
          <w:cantSplit/>
        </w:trPr>
        <w:tc>
          <w:tcPr>
            <w:tcW w:type="dxa" w:w="2351"/>
            <w:vAlign w:val="center"/>
            <w:tcMar>
              <w:top w:w="80" w:type="dxa"/>
              <w:start w:w="100" w:type="dxa"/>
              <w:bottom w:w="80" w:type="dxa"/>
              <w:end w:w="100" w:type="dxa"/>
            </w:tcMar>
          </w:tcPr>
          <w:p>
            <w:r/>
            <w:r>
              <w:rPr>
                <w:rFonts w:ascii="Times New Roman" w:hAnsi="Times New Roman" w:eastAsia="標楷體"/>
                <w:b w:val="0"/>
                <w:sz w:val="17"/>
              </w:rPr>
              <w:t>模型重現現地</w:t>
            </w:r>
          </w:p>
        </w:tc>
        <w:tc>
          <w:tcPr>
            <w:tcW w:type="dxa" w:w="3990"/>
            <w:vAlign w:val="center"/>
            <w:tcMar>
              <w:top w:w="80" w:type="dxa"/>
              <w:start w:w="100" w:type="dxa"/>
              <w:bottom w:w="80" w:type="dxa"/>
              <w:end w:w="100" w:type="dxa"/>
            </w:tcMar>
          </w:tcPr>
          <w:p>
            <w:r/>
            <w:r>
              <w:rPr>
                <w:rFonts w:ascii="Times New Roman" w:hAnsi="Times New Roman" w:eastAsia="標楷體"/>
                <w:b w:val="0"/>
                <w:sz w:val="17"/>
              </w:rPr>
              <w:t>相同指標、座標、尺度、誤差及預先定義判準</w:t>
            </w:r>
          </w:p>
        </w:tc>
        <w:tc>
          <w:tcPr>
            <w:tcW w:type="dxa" w:w="3207"/>
            <w:vAlign w:val="center"/>
            <w:tcMar>
              <w:top w:w="80" w:type="dxa"/>
              <w:start w:w="100" w:type="dxa"/>
              <w:bottom w:w="80" w:type="dxa"/>
              <w:end w:w="100" w:type="dxa"/>
            </w:tcMar>
          </w:tcPr>
          <w:p>
            <w:r/>
            <w:r>
              <w:rPr>
                <w:rFonts w:ascii="Times New Roman" w:hAnsi="Times New Roman" w:eastAsia="標楷體"/>
                <w:b w:val="0"/>
                <w:sz w:val="17"/>
              </w:rPr>
              <w:t>目前寫 zone-/pattern-level comparison，不寫 exact agreement</w:t>
            </w:r>
          </w:p>
        </w:tc>
      </w:tr>
      <w:tr>
        <w:trPr>
          <w:cantSplit/>
        </w:trPr>
        <w:tc>
          <w:tcPr>
            <w:tcW w:type="dxa" w:w="2351"/>
            <w:vAlign w:val="center"/>
            <w:tcMar>
              <w:top w:w="80" w:type="dxa"/>
              <w:start w:w="100" w:type="dxa"/>
              <w:bottom w:w="80" w:type="dxa"/>
              <w:end w:w="100" w:type="dxa"/>
            </w:tcMar>
          </w:tcPr>
          <w:p>
            <w:r/>
            <w:r>
              <w:rPr>
                <w:rFonts w:ascii="Times New Roman" w:hAnsi="Times New Roman" w:eastAsia="標楷體"/>
                <w:b w:val="0"/>
                <w:sz w:val="17"/>
              </w:rPr>
              <w:t>BPM 裂縫</w:t>
            </w:r>
          </w:p>
        </w:tc>
        <w:tc>
          <w:tcPr>
            <w:tcW w:type="dxa" w:w="3990"/>
            <w:vAlign w:val="center"/>
            <w:tcMar>
              <w:top w:w="80" w:type="dxa"/>
              <w:start w:w="100" w:type="dxa"/>
              <w:bottom w:w="80" w:type="dxa"/>
              <w:end w:w="100" w:type="dxa"/>
            </w:tcMar>
          </w:tcPr>
          <w:p>
            <w:r/>
            <w:r>
              <w:rPr>
                <w:rFonts w:ascii="Times New Roman" w:hAnsi="Times New Roman" w:eastAsia="標楷體"/>
                <w:b w:val="0"/>
                <w:sz w:val="17"/>
              </w:rPr>
              <w:t>斷鍵聚類、幾何重建、材料／結構率定及門檻</w:t>
            </w:r>
          </w:p>
        </w:tc>
        <w:tc>
          <w:tcPr>
            <w:tcW w:type="dxa" w:w="3207"/>
            <w:vAlign w:val="center"/>
            <w:tcMar>
              <w:top w:w="80" w:type="dxa"/>
              <w:start w:w="100" w:type="dxa"/>
              <w:bottom w:w="80" w:type="dxa"/>
              <w:end w:w="100" w:type="dxa"/>
            </w:tcMar>
          </w:tcPr>
          <w:p>
            <w:r/>
            <w:r>
              <w:rPr>
                <w:rFonts w:ascii="Times New Roman" w:hAnsi="Times New Roman" w:eastAsia="標楷體"/>
                <w:b w:val="0"/>
                <w:sz w:val="17"/>
              </w:rPr>
              <w:t>原始事件=microdamage；聚類後=reconstructed crack</w:t>
            </w:r>
          </w:p>
        </w:tc>
      </w:tr>
      <w:tr>
        <w:trPr>
          <w:cantSplit/>
        </w:trPr>
        <w:tc>
          <w:tcPr>
            <w:tcW w:type="dxa" w:w="2351"/>
            <w:vAlign w:val="center"/>
            <w:tcMar>
              <w:top w:w="80" w:type="dxa"/>
              <w:start w:w="100" w:type="dxa"/>
              <w:bottom w:w="80" w:type="dxa"/>
              <w:end w:w="100" w:type="dxa"/>
            </w:tcMar>
          </w:tcPr>
          <w:p>
            <w:r/>
            <w:r>
              <w:rPr>
                <w:rFonts w:ascii="Times New Roman" w:hAnsi="Times New Roman" w:eastAsia="標楷體"/>
                <w:b w:val="0"/>
                <w:sz w:val="17"/>
              </w:rPr>
              <w:t>雙向回饋放大</w:t>
            </w:r>
          </w:p>
        </w:tc>
        <w:tc>
          <w:tcPr>
            <w:tcW w:type="dxa" w:w="3990"/>
            <w:vAlign w:val="center"/>
            <w:tcMar>
              <w:top w:w="80" w:type="dxa"/>
              <w:start w:w="100" w:type="dxa"/>
              <w:bottom w:w="80" w:type="dxa"/>
              <w:end w:w="100" w:type="dxa"/>
            </w:tcMar>
          </w:tcPr>
          <w:p>
            <w:r/>
            <w:r>
              <w:rPr>
                <w:rFonts w:ascii="Times New Roman" w:hAnsi="Times New Roman" w:eastAsia="標楷體"/>
                <w:b w:val="0"/>
                <w:sz w:val="17"/>
              </w:rPr>
              <w:t>同一時間跨度與交換節點的 L0、相同起點／輸入、Eeff(D) 與數值敏感度</w:t>
            </w:r>
          </w:p>
        </w:tc>
        <w:tc>
          <w:tcPr>
            <w:tcW w:type="dxa" w:w="3207"/>
            <w:vAlign w:val="center"/>
            <w:tcMar>
              <w:top w:w="80" w:type="dxa"/>
              <w:start w:w="100" w:type="dxa"/>
              <w:bottom w:w="80" w:type="dxa"/>
              <w:end w:w="100" w:type="dxa"/>
            </w:tcMar>
          </w:tcPr>
          <w:p>
            <w:r/>
            <w:r>
              <w:rPr>
                <w:rFonts w:ascii="Times New Roman" w:hAnsi="Times New Roman" w:eastAsia="標楷體"/>
                <w:b w:val="0"/>
                <w:sz w:val="17"/>
              </w:rPr>
              <w:t>目前寫 exploratory difference／may amplify</w:t>
            </w:r>
          </w:p>
        </w:tc>
      </w:tr>
      <w:tr>
        <w:trPr>
          <w:cantSplit/>
        </w:trPr>
        <w:tc>
          <w:tcPr>
            <w:tcW w:type="dxa" w:w="2351"/>
            <w:vAlign w:val="center"/>
            <w:tcMar>
              <w:top w:w="80" w:type="dxa"/>
              <w:start w:w="100" w:type="dxa"/>
              <w:bottom w:w="80" w:type="dxa"/>
              <w:end w:w="100" w:type="dxa"/>
            </w:tcMar>
          </w:tcPr>
          <w:p>
            <w:r/>
            <w:r>
              <w:rPr>
                <w:rFonts w:ascii="Times New Roman" w:hAnsi="Times New Roman" w:eastAsia="標楷體"/>
                <w:b w:val="0"/>
                <w:sz w:val="17"/>
              </w:rPr>
              <w:t>維護門檻／壽命</w:t>
            </w:r>
          </w:p>
        </w:tc>
        <w:tc>
          <w:tcPr>
            <w:tcW w:type="dxa" w:w="3990"/>
            <w:vAlign w:val="center"/>
            <w:tcMar>
              <w:top w:w="80" w:type="dxa"/>
              <w:start w:w="100" w:type="dxa"/>
              <w:bottom w:w="80" w:type="dxa"/>
              <w:end w:w="100" w:type="dxa"/>
            </w:tcMar>
          </w:tcPr>
          <w:p>
            <w:r/>
            <w:r>
              <w:rPr>
                <w:rFonts w:ascii="Times New Roman" w:hAnsi="Times New Roman" w:eastAsia="標楷體"/>
                <w:b w:val="0"/>
                <w:sz w:val="17"/>
              </w:rPr>
              <w:t>多案例或外部驗證、可觀測量、單位一致及決策性能</w:t>
            </w:r>
          </w:p>
        </w:tc>
        <w:tc>
          <w:tcPr>
            <w:tcW w:type="dxa" w:w="3207"/>
            <w:vAlign w:val="center"/>
            <w:tcMar>
              <w:top w:w="80" w:type="dxa"/>
              <w:start w:w="100" w:type="dxa"/>
              <w:bottom w:w="80" w:type="dxa"/>
              <w:end w:w="100" w:type="dxa"/>
            </w:tcMar>
          </w:tcPr>
          <w:p>
            <w:r/>
            <w:r>
              <w:rPr>
                <w:rFonts w:ascii="Times New Roman" w:hAnsi="Times New Roman" w:eastAsia="標楷體"/>
                <w:b w:val="0"/>
                <w:sz w:val="17"/>
              </w:rPr>
              <w:t>目前只寫 implication／mechanistic reference</w:t>
            </w:r>
          </w:p>
        </w:tc>
      </w:tr>
    </w:tbl>
    <w:p>
      <w:pPr>
        <w:pStyle w:val="Heading2"/>
      </w:pPr>
      <w:r>
        <w:rPr>
          <w:rFonts w:ascii="Times New Roman" w:hAnsi="Times New Roman" w:eastAsia="標楷體"/>
          <w:b/>
          <w:sz w:val="28"/>
        </w:rPr>
        <w:t>二、題目與摘要</w:t>
      </w:r>
    </w:p>
    <w:p>
      <w:r>
        <w:rPr>
          <w:rFonts w:ascii="Times New Roman" w:hAnsi="Times New Roman" w:eastAsia="標楷體"/>
          <w:b w:val="0"/>
          <w:sz w:val="24"/>
        </w:rPr>
        <w:t>題目統計可協助判斷可讀性，但不能形成硬規則。「零方法詞」不是目標；當現地因果尚未閉合時，numerical study／investigation 反而能誠實限定研究屬性。使用 under 描述工況，除非有直接現地因果證據，避免 driven by、influenced by、driving mechanism。</w:t>
      </w:r>
      <w:r>
        <w:rPr>
          <w:rFonts w:ascii="Times New Roman" w:hAnsi="Times New Roman" w:eastAsia="標楷體"/>
          <w:b w:val="0"/>
          <w:sz w:val="24"/>
        </w:rPr>
        <w:t xml:space="preserve">　</w:t>
      </w:r>
      <w:r>
        <w:rPr>
          <w:rFonts w:ascii="Times New Roman" w:hAnsi="Times New Roman" w:eastAsia="標楷體"/>
          <w:b w:val="0"/>
          <w:color w:val="000000"/>
          <w:sz w:val="22"/>
          <w:highlight w:val="yellow"/>
        </w:rPr>
        <w:t>【重點：題目先說清楚研究對象、情境與證據類型】</w:t>
      </w:r>
    </w:p>
    <w:p>
      <w:r>
        <w:rPr>
          <w:rFonts w:ascii="Times New Roman" w:hAnsi="Times New Roman" w:eastAsia="標楷體"/>
          <w:b w:val="0"/>
          <w:sz w:val="24"/>
        </w:rPr>
        <w:t>摘要依序回答：工程問題→文獻中已知的分段機理→本文要補的組合缺口→案例與方法→三個最重要結果→適用域。所有數字必須來自同一權威版本；未完成的 W1、L0、敏感度或「待回填」不得先寫成結果。</w:t>
      </w:r>
      <w:r>
        <w:rPr>
          <w:rFonts w:ascii="Times New Roman" w:hAnsi="Times New Roman" w:eastAsia="標楷體"/>
          <w:b w:val="0"/>
          <w:sz w:val="24"/>
        </w:rPr>
        <w:t xml:space="preserve">　</w:t>
      </w:r>
      <w:r>
        <w:rPr>
          <w:rFonts w:ascii="Times New Roman" w:hAnsi="Times New Roman" w:eastAsia="標楷體"/>
          <w:b w:val="0"/>
          <w:color w:val="000000"/>
          <w:sz w:val="22"/>
          <w:highlight w:val="yellow"/>
        </w:rPr>
        <w:t>【重點：摘要不使用引用，但每一句在內部都要有可回查來源】</w:t>
      </w:r>
    </w:p>
    <w:p>
      <w:pPr>
        <w:pStyle w:val="Heading2"/>
      </w:pPr>
      <w:r>
        <w:rPr>
          <w:rFonts w:ascii="Times New Roman" w:hAnsi="Times New Roman" w:eastAsia="標楷體"/>
          <w:b/>
          <w:sz w:val="28"/>
        </w:rPr>
        <w:t>三、前言建議脈絡（五段）</w:t>
      </w:r>
    </w:p>
    <w:p>
      <w:pPr>
        <w:ind w:left="360"/>
      </w:pPr>
      <w:r>
        <w:rPr>
          <w:rFonts w:ascii="Times New Roman" w:hAnsi="Times New Roman" w:eastAsia="標楷體"/>
          <w:b w:val="0"/>
          <w:sz w:val="22"/>
        </w:rPr>
        <w:t>P1｜工程問題：營運隧道病害、坡體依時變形與水文波動可能並存；以案例資料規格說明研究重要性，但不預先指定單一成因。引用營運／維護與裂縫演化文獻。</w:t>
      </w:r>
      <w:r>
        <w:rPr>
          <w:rFonts w:ascii="Times New Roman" w:hAnsi="Times New Roman" w:eastAsia="標楷體"/>
          <w:b w:val="0"/>
          <w:sz w:val="22"/>
        </w:rPr>
        <w:t xml:space="preserve">　</w:t>
      </w:r>
      <w:r>
        <w:rPr>
          <w:rFonts w:ascii="Times New Roman" w:hAnsi="Times New Roman" w:eastAsia="標楷體"/>
          <w:b w:val="0"/>
          <w:color w:val="000000"/>
          <w:sz w:val="20"/>
          <w:highlight w:val="yellow"/>
        </w:rPr>
        <w:t>【重點：先建立問題，不先宣告答案】</w:t>
      </w:r>
    </w:p>
    <w:p>
      <w:pPr>
        <w:ind w:left="360"/>
      </w:pPr>
      <w:r>
        <w:rPr>
          <w:rFonts w:ascii="Times New Roman" w:hAnsi="Times New Roman" w:eastAsia="標楷體"/>
          <w:b w:val="0"/>
          <w:sz w:val="22"/>
        </w:rPr>
        <w:t xml:space="preserve">P2｜水力與循環：由穩態地下水與襯砌水力非均質 </w:t>
      </w:r>
      <w:r>
        <w:rPr>
          <w:rFonts w:ascii="Times New Roman" w:hAnsi="Times New Roman" w:eastAsia="標楷體"/>
          <w:b w:val="0"/>
          <w:color w:val="1F4EC8"/>
          <w:sz w:val="22"/>
        </w:rPr>
        <w:t>(Fahimifar &amp; Zareifard, 2009; Tan et al., 2018)</w:t>
      </w:r>
      <w:r>
        <w:rPr>
          <w:rFonts w:ascii="Times New Roman" w:hAnsi="Times New Roman" w:eastAsia="標楷體"/>
          <w:b w:val="0"/>
          <w:sz w:val="22"/>
        </w:rPr>
        <w:t xml:space="preserve">，推進到升降水路徑相依 </w:t>
      </w:r>
      <w:r>
        <w:rPr>
          <w:rFonts w:ascii="Times New Roman" w:hAnsi="Times New Roman" w:eastAsia="標楷體"/>
          <w:b w:val="0"/>
          <w:color w:val="1F4EC8"/>
          <w:sz w:val="22"/>
        </w:rPr>
        <w:t>(Sun et al., 2023)</w:t>
      </w:r>
      <w:r>
        <w:rPr>
          <w:rFonts w:ascii="Times New Roman" w:hAnsi="Times New Roman" w:eastAsia="標楷體"/>
          <w:b w:val="0"/>
          <w:sz w:val="22"/>
        </w:rPr>
        <w:t xml:space="preserve"> 及排水劣化開裂</w:t>
      </w:r>
      <w:r>
        <w:rPr>
          <w:rFonts w:ascii="Times New Roman" w:hAnsi="Times New Roman" w:eastAsia="標楷體"/>
          <w:b w:val="0"/>
          <w:color w:val="1F4EC8"/>
          <w:sz w:val="22"/>
        </w:rPr>
        <w:t>(Zhang et al., 2022)</w:t>
      </w:r>
      <w:r>
        <w:rPr>
          <w:rFonts w:ascii="Times New Roman" w:hAnsi="Times New Roman" w:eastAsia="標楷體"/>
          <w:b w:val="0"/>
          <w:sz w:val="22"/>
        </w:rPr>
        <w:t>；逐篇明寫其材料、工況與不能外推之處。</w:t>
      </w:r>
      <w:r>
        <w:rPr>
          <w:rFonts w:ascii="Times New Roman" w:hAnsi="Times New Roman" w:eastAsia="標楷體"/>
          <w:b w:val="0"/>
          <w:sz w:val="22"/>
        </w:rPr>
        <w:t xml:space="preserve">　</w:t>
      </w:r>
      <w:r>
        <w:rPr>
          <w:rFonts w:ascii="Times New Roman" w:hAnsi="Times New Roman" w:eastAsia="標楷體"/>
          <w:b w:val="0"/>
          <w:color w:val="000000"/>
          <w:sz w:val="20"/>
          <w:highlight w:val="yellow"/>
        </w:rPr>
        <w:t>【重點：不要把 steady、single-cycle、monotonic blockage 混成同一種 cyclic evidence】</w:t>
      </w:r>
    </w:p>
    <w:p>
      <w:pPr>
        <w:ind w:left="360"/>
      </w:pPr>
      <w:r>
        <w:rPr>
          <w:rFonts w:ascii="Times New Roman" w:hAnsi="Times New Roman" w:eastAsia="標楷體"/>
          <w:b w:val="0"/>
          <w:sz w:val="22"/>
        </w:rPr>
        <w:t>P3｜依時坡隧反應：水會改變岩材潛變門檻與速率，坡體依時變形亦會傳至襯砌</w:t>
      </w:r>
      <w:r>
        <w:rPr>
          <w:rFonts w:ascii="Times New Roman" w:hAnsi="Times New Roman" w:eastAsia="標楷體"/>
          <w:b w:val="0"/>
          <w:color w:val="1F4EC8"/>
          <w:sz w:val="22"/>
        </w:rPr>
        <w:t>(Yan et al., 2020; Li et al., 2021; Tarifard et al., 2022; Causse et al., 2015)</w:t>
      </w:r>
      <w:r>
        <w:rPr>
          <w:rFonts w:ascii="Times New Roman" w:hAnsi="Times New Roman" w:eastAsia="標楷體"/>
          <w:b w:val="0"/>
          <w:sz w:val="22"/>
        </w:rPr>
        <w:t>；說明材料試驗、概念模型與營運案例的證據尺度不同。</w:t>
      </w:r>
      <w:r>
        <w:rPr>
          <w:rFonts w:ascii="Times New Roman" w:hAnsi="Times New Roman" w:eastAsia="標楷體"/>
          <w:b w:val="0"/>
          <w:sz w:val="22"/>
        </w:rPr>
        <w:t xml:space="preserve">　</w:t>
      </w:r>
      <w:r>
        <w:rPr>
          <w:rFonts w:ascii="Times New Roman" w:hAnsi="Times New Roman" w:eastAsia="標楷體"/>
          <w:b w:val="0"/>
          <w:color w:val="000000"/>
          <w:sz w:val="20"/>
          <w:highlight w:val="yellow"/>
        </w:rPr>
        <w:t>【重點：用文獻接成鏈，但不宣稱任一篇已證明整條鏈】</w:t>
      </w:r>
    </w:p>
    <w:p>
      <w:pPr>
        <w:ind w:left="360"/>
      </w:pPr>
      <w:r>
        <w:rPr>
          <w:rFonts w:ascii="Times New Roman" w:hAnsi="Times New Roman" w:eastAsia="標楷體"/>
          <w:b w:val="0"/>
          <w:sz w:val="22"/>
        </w:rPr>
        <w:t>P4｜裂縫與方法：</w:t>
      </w:r>
      <w:r>
        <w:rPr>
          <w:rFonts w:ascii="Times New Roman" w:hAnsi="Times New Roman" w:eastAsia="標楷體"/>
          <w:b w:val="0"/>
          <w:color w:val="1F4EC8"/>
          <w:sz w:val="22"/>
        </w:rPr>
        <w:t>Wang (2010)</w:t>
      </w:r>
      <w:r>
        <w:rPr>
          <w:rFonts w:ascii="Times New Roman" w:hAnsi="Times New Roman" w:eastAsia="標楷體"/>
          <w:b w:val="0"/>
          <w:sz w:val="22"/>
        </w:rPr>
        <w:t xml:space="preserve"> 支持裂縫型態診斷，</w:t>
      </w:r>
      <w:r>
        <w:rPr>
          <w:rFonts w:ascii="Times New Roman" w:hAnsi="Times New Roman" w:eastAsia="標楷體"/>
          <w:b w:val="0"/>
          <w:color w:val="1F4EC8"/>
          <w:sz w:val="22"/>
        </w:rPr>
        <w:t>Chiu et al. (2017)</w:t>
      </w:r>
      <w:r>
        <w:rPr>
          <w:rFonts w:ascii="Times New Roman" w:hAnsi="Times New Roman" w:eastAsia="標楷體"/>
          <w:b w:val="0"/>
          <w:sz w:val="22"/>
        </w:rPr>
        <w:t xml:space="preserve"> 支持時間演化，</w:t>
      </w:r>
      <w:r>
        <w:rPr>
          <w:rFonts w:ascii="Times New Roman" w:hAnsi="Times New Roman" w:eastAsia="標楷體"/>
          <w:b w:val="0"/>
          <w:color w:val="1F4EC8"/>
          <w:sz w:val="22"/>
        </w:rPr>
        <w:t>Wang et al. (2024)</w:t>
      </w:r>
      <w:r>
        <w:rPr>
          <w:rFonts w:ascii="Times New Roman" w:hAnsi="Times New Roman" w:eastAsia="標楷體"/>
          <w:b w:val="0"/>
          <w:sz w:val="22"/>
        </w:rPr>
        <w:t xml:space="preserve"> 則連結位移與裂縫製圖至剝落評估；三者角色不可互換。BPM／FDEM／FLAC–PFC 文獻提供顯式破裂與局部離散—外部連續之方法血緣 </w:t>
      </w:r>
      <w:r>
        <w:rPr>
          <w:rFonts w:ascii="Times New Roman" w:hAnsi="Times New Roman" w:eastAsia="標楷體"/>
          <w:b w:val="0"/>
          <w:color w:val="1F4EC8"/>
          <w:sz w:val="22"/>
        </w:rPr>
        <w:t>(Potyondy &amp; Cundall, 2004; Bai et al., 2022; Zhou et al., 2024)</w:t>
      </w:r>
      <w:r>
        <w:rPr>
          <w:rFonts w:ascii="Times New Roman" w:hAnsi="Times New Roman" w:eastAsia="標楷體"/>
          <w:b w:val="0"/>
          <w:sz w:val="22"/>
        </w:rPr>
        <w:t>，但仍須區分逐步同步耦合、單體 FDEM、05 單向狀態傳遞與 06 的 5-day 外部分割回饋。</w:t>
      </w:r>
      <w:r>
        <w:rPr>
          <w:rFonts w:ascii="Times New Roman" w:hAnsi="Times New Roman" w:eastAsia="標楷體"/>
          <w:b w:val="0"/>
          <w:sz w:val="22"/>
        </w:rPr>
        <w:t xml:space="preserve">　</w:t>
      </w:r>
      <w:r>
        <w:rPr>
          <w:rFonts w:ascii="Times New Roman" w:hAnsi="Times New Roman" w:eastAsia="標楷體"/>
          <w:b w:val="0"/>
          <w:color w:val="000000"/>
          <w:sz w:val="20"/>
          <w:highlight w:val="yellow"/>
        </w:rPr>
        <w:t>【重點：不可把所有 continuum–discrete 工作都叫作同一種雙向耦合】</w:t>
      </w:r>
    </w:p>
    <w:p>
      <w:pPr>
        <w:ind w:left="360"/>
      </w:pPr>
      <w:r>
        <w:rPr>
          <w:rFonts w:ascii="Times New Roman" w:hAnsi="Times New Roman" w:eastAsia="標楷體"/>
          <w:b w:val="0"/>
          <w:sz w:val="22"/>
        </w:rPr>
        <w:t>P5｜組合缺口與目的：限縮為「目前核讀文獻尚未充分釐清循環水位、依時坡隧反應與顯式襯砌損傷如何在案例導向的跨尺度框架內共同作用」。正式使用 global first／novel 前，需依確定題目再做系統性檢索。最後用兩至三個研究問題收束，不先報結果。</w:t>
      </w:r>
      <w:r>
        <w:rPr>
          <w:rFonts w:ascii="Times New Roman" w:hAnsi="Times New Roman" w:eastAsia="標楷體"/>
          <w:b w:val="0"/>
          <w:sz w:val="22"/>
        </w:rPr>
        <w:t xml:space="preserve">　</w:t>
      </w:r>
      <w:r>
        <w:rPr>
          <w:rFonts w:ascii="Times New Roman" w:hAnsi="Times New Roman" w:eastAsia="標楷體"/>
          <w:b w:val="0"/>
          <w:color w:val="000000"/>
          <w:sz w:val="20"/>
          <w:highlight w:val="yellow"/>
        </w:rPr>
        <w:t>【重點：缺口是分散機理的整合，不是首次使用 FLAC、PFC 或兩者耦合】</w:t>
      </w:r>
    </w:p>
    <w:p>
      <w:pPr>
        <w:pStyle w:val="Heading2"/>
      </w:pPr>
      <w:r>
        <w:rPr>
          <w:rFonts w:ascii="Times New Roman" w:hAnsi="Times New Roman" w:eastAsia="標楷體"/>
          <w:b/>
          <w:sz w:val="28"/>
        </w:rPr>
        <w:t>四、Results 與 Discussion 的用語</w:t>
      </w:r>
    </w:p>
    <w:tbl>
      <w:tblPr>
        <w:tblStyle w:val="TableGrid"/>
        <w:tblW w:type="dxa" w:w="9548"/>
        <w:jc w:val="center"/>
        <w:tblLayout w:type="fixed"/>
        <w:tblLook w:firstColumn="1" w:firstRow="1" w:lastColumn="0" w:lastRow="0" w:noHBand="0" w:noVBand="1" w:val="04A0"/>
        <w:tblInd w:w="100" w:type="dxa"/>
      </w:tblPr>
      <w:tblGrid>
        <w:gridCol w:w="1781"/>
        <w:gridCol w:w="3919"/>
        <w:gridCol w:w="3848"/>
      </w:tblGrid>
      <w:tr>
        <w:trPr>
          <w:tblHeader/>
        </w:trPr>
        <w:tc>
          <w:tcPr>
            <w:tcW w:type="dxa" w:w="1781"/>
            <w:vAlign w:val="center"/>
            <w:tcMar>
              <w:top w:w="80" w:type="dxa"/>
              <w:start w:w="100" w:type="dxa"/>
              <w:bottom w:w="80" w:type="dxa"/>
              <w:end w:w="100" w:type="dxa"/>
            </w:tcMar>
          </w:tcPr>
          <w:p>
            <w:r/>
            <w:r>
              <w:rPr>
                <w:rFonts w:ascii="Times New Roman" w:hAnsi="Times New Roman" w:eastAsia="標楷體"/>
                <w:b/>
                <w:sz w:val="19"/>
              </w:rPr>
              <w:t>層級</w:t>
            </w:r>
          </w:p>
        </w:tc>
        <w:tc>
          <w:tcPr>
            <w:tcW w:type="dxa" w:w="3919"/>
            <w:vAlign w:val="center"/>
            <w:tcMar>
              <w:top w:w="80" w:type="dxa"/>
              <w:start w:w="100" w:type="dxa"/>
              <w:bottom w:w="80" w:type="dxa"/>
              <w:end w:w="100" w:type="dxa"/>
            </w:tcMar>
          </w:tcPr>
          <w:p>
            <w:r/>
            <w:r>
              <w:rPr>
                <w:rFonts w:ascii="Times New Roman" w:hAnsi="Times New Roman" w:eastAsia="標楷體"/>
                <w:b/>
                <w:sz w:val="19"/>
              </w:rPr>
              <w:t>Results 寫法</w:t>
            </w:r>
          </w:p>
        </w:tc>
        <w:tc>
          <w:tcPr>
            <w:tcW w:type="dxa" w:w="3848"/>
            <w:vAlign w:val="center"/>
            <w:tcMar>
              <w:top w:w="80" w:type="dxa"/>
              <w:start w:w="100" w:type="dxa"/>
              <w:bottom w:w="80" w:type="dxa"/>
              <w:end w:w="100" w:type="dxa"/>
            </w:tcMar>
          </w:tcPr>
          <w:p>
            <w:r/>
            <w:r>
              <w:rPr>
                <w:rFonts w:ascii="Times New Roman" w:hAnsi="Times New Roman" w:eastAsia="標楷體"/>
                <w:b/>
                <w:sz w:val="19"/>
              </w:rPr>
              <w:t>Discussion 寫法</w:t>
            </w:r>
          </w:p>
        </w:tc>
      </w:tr>
      <w:tr>
        <w:trPr>
          <w:cantSplit/>
        </w:trPr>
        <w:tc>
          <w:tcPr>
            <w:tcW w:type="dxa" w:w="1781"/>
            <w:vAlign w:val="center"/>
            <w:tcMar>
              <w:top w:w="80" w:type="dxa"/>
              <w:start w:w="100" w:type="dxa"/>
              <w:bottom w:w="80" w:type="dxa"/>
              <w:end w:w="100" w:type="dxa"/>
            </w:tcMar>
          </w:tcPr>
          <w:p>
            <w:r/>
            <w:r>
              <w:rPr>
                <w:rFonts w:ascii="Times New Roman" w:hAnsi="Times New Roman" w:eastAsia="標楷體"/>
                <w:b w:val="0"/>
                <w:sz w:val="18"/>
              </w:rPr>
              <w:t>Observation</w:t>
            </w:r>
          </w:p>
        </w:tc>
        <w:tc>
          <w:tcPr>
            <w:tcW w:type="dxa" w:w="3919"/>
            <w:vAlign w:val="center"/>
            <w:tcMar>
              <w:top w:w="80" w:type="dxa"/>
              <w:start w:w="100" w:type="dxa"/>
              <w:bottom w:w="80" w:type="dxa"/>
              <w:end w:w="100" w:type="dxa"/>
            </w:tcMar>
          </w:tcPr>
          <w:p>
            <w:r/>
            <w:r>
              <w:rPr>
                <w:rFonts w:ascii="Times New Roman" w:hAnsi="Times New Roman" w:eastAsia="標楷體"/>
                <w:b w:val="0"/>
                <w:sz w:val="18"/>
              </w:rPr>
              <w:t>直接報資料、日期、座標、量測值與不確定性</w:t>
            </w:r>
          </w:p>
        </w:tc>
        <w:tc>
          <w:tcPr>
            <w:tcW w:type="dxa" w:w="3848"/>
            <w:vAlign w:val="center"/>
            <w:tcMar>
              <w:top w:w="80" w:type="dxa"/>
              <w:start w:w="100" w:type="dxa"/>
              <w:bottom w:w="80" w:type="dxa"/>
              <w:end w:w="100" w:type="dxa"/>
            </w:tcMar>
          </w:tcPr>
          <w:p>
            <w:r/>
            <w:r>
              <w:rPr>
                <w:rFonts w:ascii="Times New Roman" w:hAnsi="Times New Roman" w:eastAsia="標楷體"/>
                <w:b w:val="0"/>
                <w:sz w:val="18"/>
              </w:rPr>
              <w:t>比較可能機理；不由相關性跳成因果</w:t>
            </w:r>
          </w:p>
        </w:tc>
      </w:tr>
      <w:tr>
        <w:trPr>
          <w:cantSplit/>
        </w:trPr>
        <w:tc>
          <w:tcPr>
            <w:tcW w:type="dxa" w:w="1781"/>
            <w:vAlign w:val="center"/>
            <w:tcMar>
              <w:top w:w="80" w:type="dxa"/>
              <w:start w:w="100" w:type="dxa"/>
              <w:bottom w:w="80" w:type="dxa"/>
              <w:end w:w="100" w:type="dxa"/>
            </w:tcMar>
          </w:tcPr>
          <w:p>
            <w:r/>
            <w:r>
              <w:rPr>
                <w:rFonts w:ascii="Times New Roman" w:hAnsi="Times New Roman" w:eastAsia="標楷體"/>
                <w:b w:val="0"/>
                <w:sz w:val="18"/>
              </w:rPr>
              <w:t>Scenario input</w:t>
            </w:r>
          </w:p>
        </w:tc>
        <w:tc>
          <w:tcPr>
            <w:tcW w:type="dxa" w:w="3919"/>
            <w:vAlign w:val="center"/>
            <w:tcMar>
              <w:top w:w="80" w:type="dxa"/>
              <w:start w:w="100" w:type="dxa"/>
              <w:bottom w:w="80" w:type="dxa"/>
              <w:end w:w="100" w:type="dxa"/>
            </w:tcMar>
          </w:tcPr>
          <w:p>
            <w:r/>
            <w:r>
              <w:rPr>
                <w:rFonts w:ascii="Times New Roman" w:hAnsi="Times New Roman" w:eastAsia="標楷體"/>
                <w:b w:val="0"/>
                <w:sz w:val="18"/>
              </w:rPr>
              <w:t>明列 100 m、stage duration、f、T 與其設定理由</w:t>
            </w:r>
          </w:p>
        </w:tc>
        <w:tc>
          <w:tcPr>
            <w:tcW w:type="dxa" w:w="3848"/>
            <w:vAlign w:val="center"/>
            <w:tcMar>
              <w:top w:w="80" w:type="dxa"/>
              <w:start w:w="100" w:type="dxa"/>
              <w:bottom w:w="80" w:type="dxa"/>
              <w:end w:w="100" w:type="dxa"/>
            </w:tcMar>
          </w:tcPr>
          <w:p>
            <w:r/>
            <w:r>
              <w:rPr>
                <w:rFonts w:ascii="Times New Roman" w:hAnsi="Times New Roman" w:eastAsia="標楷體"/>
                <w:b w:val="0"/>
                <w:sz w:val="18"/>
              </w:rPr>
              <w:t>討論敏感度與適用域；不可稱 field reproduction</w:t>
            </w:r>
          </w:p>
        </w:tc>
      </w:tr>
      <w:tr>
        <w:trPr>
          <w:cantSplit/>
        </w:trPr>
        <w:tc>
          <w:tcPr>
            <w:tcW w:type="dxa" w:w="1781"/>
            <w:vAlign w:val="center"/>
            <w:tcMar>
              <w:top w:w="80" w:type="dxa"/>
              <w:start w:w="100" w:type="dxa"/>
              <w:bottom w:w="80" w:type="dxa"/>
              <w:end w:w="100" w:type="dxa"/>
            </w:tcMar>
          </w:tcPr>
          <w:p>
            <w:r/>
            <w:r>
              <w:rPr>
                <w:rFonts w:ascii="Times New Roman" w:hAnsi="Times New Roman" w:eastAsia="標楷體"/>
                <w:b w:val="0"/>
                <w:sz w:val="18"/>
              </w:rPr>
              <w:t>Numerical response</w:t>
            </w:r>
          </w:p>
        </w:tc>
        <w:tc>
          <w:tcPr>
            <w:tcW w:type="dxa" w:w="3919"/>
            <w:vAlign w:val="center"/>
            <w:tcMar>
              <w:top w:w="80" w:type="dxa"/>
              <w:start w:w="100" w:type="dxa"/>
              <w:bottom w:w="80" w:type="dxa"/>
              <w:end w:w="100" w:type="dxa"/>
            </w:tcMar>
          </w:tcPr>
          <w:p>
            <w:r/>
            <w:r>
              <w:rPr>
                <w:rFonts w:ascii="Times New Roman" w:hAnsi="Times New Roman" w:eastAsia="標楷體"/>
                <w:b w:val="0"/>
                <w:sz w:val="18"/>
              </w:rPr>
              <w:t>報位移、壓力、斷鍵、D、倍率、位置與分母</w:t>
            </w:r>
          </w:p>
        </w:tc>
        <w:tc>
          <w:tcPr>
            <w:tcW w:type="dxa" w:w="3848"/>
            <w:vAlign w:val="center"/>
            <w:tcMar>
              <w:top w:w="80" w:type="dxa"/>
              <w:start w:w="100" w:type="dxa"/>
              <w:bottom w:w="80" w:type="dxa"/>
              <w:end w:w="100" w:type="dxa"/>
            </w:tcMar>
          </w:tcPr>
          <w:p>
            <w:r/>
            <w:r>
              <w:rPr>
                <w:rFonts w:ascii="Times New Roman" w:hAnsi="Times New Roman" w:eastAsia="標楷體"/>
                <w:b w:val="0"/>
                <w:sz w:val="18"/>
              </w:rPr>
              <w:t>以 literature-supported mechanism 解釋，使用 indicates／suggests</w:t>
            </w:r>
          </w:p>
        </w:tc>
      </w:tr>
      <w:tr>
        <w:trPr>
          <w:cantSplit/>
        </w:trPr>
        <w:tc>
          <w:tcPr>
            <w:tcW w:type="dxa" w:w="1781"/>
            <w:vAlign w:val="center"/>
            <w:tcMar>
              <w:top w:w="80" w:type="dxa"/>
              <w:start w:w="100" w:type="dxa"/>
              <w:bottom w:w="80" w:type="dxa"/>
              <w:end w:w="100" w:type="dxa"/>
            </w:tcMar>
          </w:tcPr>
          <w:p>
            <w:r/>
            <w:r>
              <w:rPr>
                <w:rFonts w:ascii="Times New Roman" w:hAnsi="Times New Roman" w:eastAsia="標楷體"/>
                <w:b w:val="0"/>
                <w:sz w:val="18"/>
              </w:rPr>
              <w:t>Field comparison</w:t>
            </w:r>
          </w:p>
        </w:tc>
        <w:tc>
          <w:tcPr>
            <w:tcW w:type="dxa" w:w="3919"/>
            <w:vAlign w:val="center"/>
            <w:tcMar>
              <w:top w:w="80" w:type="dxa"/>
              <w:start w:w="100" w:type="dxa"/>
              <w:bottom w:w="80" w:type="dxa"/>
              <w:end w:w="100" w:type="dxa"/>
            </w:tcMar>
          </w:tcPr>
          <w:p>
            <w:r/>
            <w:r>
              <w:rPr>
                <w:rFonts w:ascii="Times New Roman" w:hAnsi="Times New Roman" w:eastAsia="標楷體"/>
                <w:b w:val="0"/>
                <w:sz w:val="18"/>
              </w:rPr>
              <w:t>先定義比較指標與容許差</w:t>
            </w:r>
          </w:p>
        </w:tc>
        <w:tc>
          <w:tcPr>
            <w:tcW w:type="dxa" w:w="3848"/>
            <w:vAlign w:val="center"/>
            <w:tcMar>
              <w:top w:w="80" w:type="dxa"/>
              <w:start w:w="100" w:type="dxa"/>
              <w:bottom w:w="80" w:type="dxa"/>
              <w:end w:w="100" w:type="dxa"/>
            </w:tcMar>
          </w:tcPr>
          <w:p>
            <w:r/>
            <w:r>
              <w:rPr>
                <w:rFonts w:ascii="Times New Roman" w:hAnsi="Times New Roman" w:eastAsia="標楷體"/>
                <w:b w:val="0"/>
                <w:sz w:val="18"/>
              </w:rPr>
              <w:t>分成位置、型態、方向、量級；不寫逐裂縫吻合</w:t>
            </w:r>
          </w:p>
        </w:tc>
      </w:tr>
      <w:tr>
        <w:trPr>
          <w:cantSplit/>
        </w:trPr>
        <w:tc>
          <w:tcPr>
            <w:tcW w:type="dxa" w:w="1781"/>
            <w:vAlign w:val="center"/>
            <w:tcMar>
              <w:top w:w="80" w:type="dxa"/>
              <w:start w:w="100" w:type="dxa"/>
              <w:bottom w:w="80" w:type="dxa"/>
              <w:end w:w="100" w:type="dxa"/>
            </w:tcMar>
          </w:tcPr>
          <w:p>
            <w:r/>
            <w:r>
              <w:rPr>
                <w:rFonts w:ascii="Times New Roman" w:hAnsi="Times New Roman" w:eastAsia="標楷體"/>
                <w:b w:val="0"/>
                <w:sz w:val="18"/>
              </w:rPr>
              <w:t>06 feedback</w:t>
            </w:r>
          </w:p>
        </w:tc>
        <w:tc>
          <w:tcPr>
            <w:tcW w:type="dxa" w:w="3919"/>
            <w:vAlign w:val="center"/>
            <w:tcMar>
              <w:top w:w="80" w:type="dxa"/>
              <w:start w:w="100" w:type="dxa"/>
              <w:bottom w:w="80" w:type="dxa"/>
              <w:end w:w="100" w:type="dxa"/>
            </w:tcMar>
          </w:tcPr>
          <w:p>
            <w:r/>
            <w:r>
              <w:rPr>
                <w:rFonts w:ascii="Times New Roman" w:hAnsi="Times New Roman" w:eastAsia="標楷體"/>
                <w:b w:val="0"/>
                <w:sz w:val="18"/>
              </w:rPr>
              <w:t>報 L0/T5/U1/L2 及 residual／QA</w:t>
            </w:r>
          </w:p>
        </w:tc>
        <w:tc>
          <w:tcPr>
            <w:tcW w:type="dxa" w:w="3848"/>
            <w:vAlign w:val="center"/>
            <w:tcMar>
              <w:top w:w="80" w:type="dxa"/>
              <w:start w:w="100" w:type="dxa"/>
              <w:bottom w:w="80" w:type="dxa"/>
              <w:end w:w="100" w:type="dxa"/>
            </w:tcMar>
          </w:tcPr>
          <w:p>
            <w:r/>
            <w:r>
              <w:rPr>
                <w:rFonts w:ascii="Times New Roman" w:hAnsi="Times New Roman" w:eastAsia="標楷體"/>
                <w:b w:val="0"/>
                <w:sz w:val="18"/>
              </w:rPr>
              <w:t>只有控制與敏感度閉合後才談 feedback amplification</w:t>
            </w:r>
          </w:p>
        </w:tc>
      </w:tr>
    </w:tbl>
    <w:p>
      <w:pPr>
        <w:pStyle w:val="Heading2"/>
      </w:pPr>
      <w:r>
        <w:rPr>
          <w:rFonts w:ascii="Times New Roman" w:hAnsi="Times New Roman" w:eastAsia="標楷體"/>
          <w:b/>
          <w:sz w:val="28"/>
        </w:rPr>
        <w:t>五、限制不是包裝，而是可解讀性條件</w:t>
      </w:r>
    </w:p>
    <w:p>
      <w:r>
        <w:rPr>
          <w:rFonts w:ascii="Times New Roman" w:hAnsi="Times New Roman" w:eastAsia="標楷體"/>
          <w:b w:val="0"/>
          <w:sz w:val="24"/>
        </w:rPr>
        <w:t>重要假設在方法首次出現時前置，Discussion 再說明對方向、量級與外推的影響。可不設獨立Limitations 章，但不能只用一句 future work 帶過。下列六項至少要能被讀者找到：100 m 情境、f=0.25、PFC timestep scaling、素混凝土／無配筋、單案例、D→E 與 5-day 交換。</w:t>
      </w:r>
      <w:r>
        <w:rPr>
          <w:rFonts w:ascii="Times New Roman" w:hAnsi="Times New Roman" w:eastAsia="標楷體"/>
          <w:b w:val="0"/>
          <w:sz w:val="24"/>
        </w:rPr>
        <w:t xml:space="preserve">　</w:t>
      </w:r>
      <w:r>
        <w:rPr>
          <w:rFonts w:ascii="Times New Roman" w:hAnsi="Times New Roman" w:eastAsia="標楷體"/>
          <w:b w:val="0"/>
          <w:color w:val="000000"/>
          <w:sz w:val="22"/>
          <w:highlight w:val="yellow"/>
        </w:rPr>
        <w:t>【重點：透明揭露會縮小結論範圍，但會提高可信度與可重現性】</w:t>
      </w:r>
    </w:p>
    <w:p>
      <w:r>
        <w:rPr>
          <w:rFonts w:ascii="Times New Roman" w:hAnsi="Times New Roman" w:eastAsia="標楷體"/>
          <w:b w:val="0"/>
          <w:sz w:val="24"/>
        </w:rPr>
        <w:t>不得用其他論文的簡化作為本研究的「免責引文」。引文只能說明方法傳統、現象或比較背景；本研究採用某一假設的理由、影響與敏感度仍須由本研究自己交代。</w:t>
      </w:r>
      <w:r>
        <w:rPr>
          <w:rFonts w:ascii="Times New Roman" w:hAnsi="Times New Roman" w:eastAsia="標楷體"/>
          <w:b w:val="0"/>
          <w:sz w:val="24"/>
        </w:rPr>
        <w:t xml:space="preserve">　</w:t>
      </w:r>
      <w:r>
        <w:rPr>
          <w:rFonts w:ascii="Times New Roman" w:hAnsi="Times New Roman" w:eastAsia="標楷體"/>
          <w:b w:val="0"/>
          <w:color w:val="000000"/>
          <w:sz w:val="22"/>
          <w:highlight w:val="yellow"/>
        </w:rPr>
        <w:t>【重點：引用不是護盾】</w:t>
      </w:r>
    </w:p>
    <w:p>
      <w:pPr>
        <w:pStyle w:val="Heading2"/>
      </w:pPr>
      <w:r>
        <w:rPr>
          <w:rFonts w:ascii="Times New Roman" w:hAnsi="Times New Roman" w:eastAsia="標楷體"/>
          <w:b/>
          <w:sz w:val="28"/>
        </w:rPr>
        <w:t>六、文獻使用規則</w:t>
      </w:r>
    </w:p>
    <w:p>
      <w:pPr>
        <w:pStyle w:val="ListBullet"/>
      </w:pPr>
      <w:r>
        <w:rPr>
          <w:rFonts w:ascii="Times New Roman" w:hAnsi="Times New Roman" w:eastAsia="標楷體"/>
          <w:b w:val="0"/>
          <w:sz w:val="21"/>
        </w:rPr>
        <w:t>A：可直接核對原 PDF；核心數字與方法描述優先使用。</w:t>
      </w:r>
    </w:p>
    <w:p>
      <w:pPr>
        <w:pStyle w:val="ListBullet"/>
      </w:pPr>
      <w:r>
        <w:rPr>
          <w:rFonts w:ascii="Times New Roman" w:hAnsi="Times New Roman" w:eastAsia="標楷體"/>
          <w:b w:val="0"/>
          <w:sz w:val="21"/>
        </w:rPr>
        <w:t>B：全文筆記可支撐主論點，但投稿前對關鍵數字及限定句回查原文。</w:t>
      </w:r>
    </w:p>
    <w:p>
      <w:pPr>
        <w:pStyle w:val="ListBullet"/>
      </w:pPr>
      <w:r>
        <w:rPr>
          <w:rFonts w:ascii="Times New Roman" w:hAnsi="Times New Roman" w:eastAsia="標楷體"/>
          <w:b w:val="0"/>
          <w:sz w:val="21"/>
        </w:rPr>
        <w:t>B*：團隊 in-review 稿件只說明研究 lineage，另配外部已刊文獻。</w:t>
      </w:r>
    </w:p>
    <w:p>
      <w:pPr>
        <w:pStyle w:val="ListBullet"/>
      </w:pPr>
      <w:r>
        <w:rPr>
          <w:rFonts w:ascii="Times New Roman" w:hAnsi="Times New Roman" w:eastAsia="標楷體"/>
          <w:b w:val="0"/>
          <w:sz w:val="21"/>
        </w:rPr>
        <w:t>C：摘要／metadata 只作背景或待取得清單；不得據此寫節序、圖數、limitations 或細部結果。</w:t>
      </w:r>
    </w:p>
    <w:p>
      <w:pPr>
        <w:pStyle w:val="ListBullet"/>
      </w:pPr>
      <w:r>
        <w:rPr>
          <w:rFonts w:ascii="Times New Roman" w:hAnsi="Times New Roman" w:eastAsia="標楷體"/>
          <w:b w:val="0"/>
          <w:sz w:val="21"/>
        </w:rPr>
        <w:t>一個因果主張盡量由不同方法、不同研究團隊的兩篇以上 A/B 文獻交叉支撐。</w:t>
      </w:r>
    </w:p>
    <w:p>
      <w:pPr>
        <w:pStyle w:val="Heading2"/>
      </w:pPr>
      <w:r>
        <w:rPr>
          <w:rFonts w:ascii="Times New Roman" w:hAnsi="Times New Roman" w:eastAsia="標楷體"/>
          <w:b/>
          <w:sz w:val="28"/>
        </w:rPr>
        <w:t>七、文書與圖表規則</w:t>
      </w:r>
    </w:p>
    <w:p>
      <w:r>
        <w:rPr>
          <w:rFonts w:ascii="Times New Roman" w:hAnsi="Times New Roman" w:eastAsia="標楷體"/>
          <w:b w:val="0"/>
          <w:sz w:val="24"/>
        </w:rPr>
        <w:t>①段落一事，首句交代角色；②引用 author-year 藍字；③</w:t>
      </w:r>
      <w:r>
        <w:rPr>
          <w:rFonts w:ascii="Times New Roman" w:hAnsi="Times New Roman" w:eastAsia="標楷體"/>
          <w:b w:val="0"/>
          <w:color w:val="C00000"/>
          <w:sz w:val="24"/>
        </w:rPr>
        <w:t>圖XX</w:t>
      </w:r>
      <w:r>
        <w:rPr>
          <w:rFonts w:ascii="Times New Roman" w:hAnsi="Times New Roman" w:eastAsia="標楷體"/>
          <w:b w:val="0"/>
          <w:sz w:val="24"/>
        </w:rPr>
        <w:t xml:space="preserve"> 紅字、</w:t>
      </w:r>
      <w:r>
        <w:rPr>
          <w:rFonts w:ascii="Times New Roman" w:hAnsi="Times New Roman" w:eastAsia="標楷體"/>
          <w:b w:val="0"/>
          <w:color w:val="008040"/>
          <w:sz w:val="24"/>
        </w:rPr>
        <w:t>表XX</w:t>
      </w:r>
      <w:r>
        <w:rPr>
          <w:rFonts w:ascii="Times New Roman" w:hAnsi="Times New Roman" w:eastAsia="標楷體"/>
          <w:b w:val="0"/>
          <w:sz w:val="24"/>
        </w:rPr>
        <w:t xml:space="preserve"> 綠字；④圖領句後依「讀數→位置／階段→機制→限制」敘述；⑤倍率同時報分子、分母與時間窗；⑥圖表使用相同座標、色階、單位與版本；⑦黃色【重點】只用於內部審閱，投稿稿移除；⑧完成正文後做 claim-to-source audit。</w:t>
      </w:r>
      <w:r>
        <w:rPr>
          <w:rFonts w:ascii="Times New Roman" w:hAnsi="Times New Roman" w:eastAsia="標楷體"/>
          <w:b w:val="0"/>
          <w:sz w:val="24"/>
        </w:rPr>
        <w:t xml:space="preserve">　</w:t>
      </w:r>
      <w:r>
        <w:rPr>
          <w:rFonts w:ascii="Times New Roman" w:hAnsi="Times New Roman" w:eastAsia="標楷體"/>
          <w:b w:val="0"/>
          <w:color w:val="000000"/>
          <w:sz w:val="22"/>
          <w:highlight w:val="yellow"/>
        </w:rPr>
        <w:t>【重點：格式服務論證，不以顏色或修辭代替證據】</w:t>
      </w:r>
    </w:p>
    <w:p>
      <w:pPr>
        <w:pStyle w:val="Heading2"/>
      </w:pPr>
      <w:r>
        <w:rPr>
          <w:rFonts w:ascii="Times New Roman" w:hAnsi="Times New Roman" w:eastAsia="標楷體"/>
          <w:b/>
          <w:sz w:val="28"/>
        </w:rPr>
        <w:t>八、全篇紅線</w:t>
      </w:r>
    </w:p>
    <w:p>
      <w:pPr>
        <w:pStyle w:val="ListBullet"/>
      </w:pPr>
      <w:r>
        <w:rPr>
          <w:rFonts w:ascii="Times New Roman" w:hAnsi="Times New Roman" w:eastAsia="標楷體"/>
          <w:b w:val="0"/>
          <w:sz w:val="21"/>
        </w:rPr>
        <w:t>不寫「首次 FLAC–PFC 耦合」或把單體 FDEM 稱為 FLAC–PFC。</w:t>
      </w:r>
    </w:p>
    <w:p>
      <w:pPr>
        <w:pStyle w:val="ListBullet"/>
      </w:pPr>
      <w:r>
        <w:rPr>
          <w:rFonts w:ascii="Times New Roman" w:hAnsi="Times New Roman" w:eastAsia="標楷體"/>
          <w:b w:val="0"/>
          <w:sz w:val="21"/>
        </w:rPr>
        <w:t>不把斷鍵數直接稱裂縫數，不把無配筋 BPM 稱完整 RC 襯砌。</w:t>
      </w:r>
    </w:p>
    <w:p>
      <w:pPr>
        <w:pStyle w:val="ListBullet"/>
      </w:pPr>
      <w:r>
        <w:rPr>
          <w:rFonts w:ascii="Times New Roman" w:hAnsi="Times New Roman" w:eastAsia="標楷體"/>
          <w:b w:val="0"/>
          <w:sz w:val="21"/>
        </w:rPr>
        <w:t>不把 2.83× 全歸因於 feedback，不把 5-day 寫成已收斂的物理時間尺度。</w:t>
      </w:r>
    </w:p>
    <w:p>
      <w:pPr>
        <w:pStyle w:val="ListBullet"/>
      </w:pPr>
      <w:r>
        <w:rPr>
          <w:rFonts w:ascii="Times New Roman" w:hAnsi="Times New Roman" w:eastAsia="標楷體"/>
          <w:b w:val="0"/>
          <w:sz w:val="21"/>
        </w:rPr>
        <w:t>不把 100 m 情境寫成現地紀錄，不把數值趨勢寫成剩餘壽命或維護門檻。</w:t>
      </w:r>
    </w:p>
    <w:p>
      <w:pPr>
        <w:pStyle w:val="ListBullet"/>
      </w:pPr>
      <w:r>
        <w:rPr>
          <w:rFonts w:ascii="Times New Roman" w:hAnsi="Times New Roman" w:eastAsia="標楷體"/>
          <w:b w:val="0"/>
          <w:sz w:val="21"/>
        </w:rPr>
        <w:t>不寫「現地一致」後再留待回填；未完成的比較先標 planned analysis。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標楷體"/>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標楷體"/>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標楷體"/>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標楷體"/>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