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全文圖表總覽（證據優先版：核心 12 圖＋條件式 3 圖＋5 表）</w:t>
      </w:r>
    </w:p>
    <w:p>
      <w:r>
        <w:rPr>
          <w:rFonts w:ascii="Times New Roman" w:hAnsi="Times New Roman" w:eastAsia="標楷體"/>
          <w:b w:val="0"/>
          <w:sz w:val="22"/>
        </w:rPr>
        <w:t>圖表不先追求數量，而要讓每一項核心主張都有專屬證據。</w:t>
      </w:r>
      <w:r>
        <w:rPr>
          <w:rFonts w:ascii="Times New Roman" w:hAnsi="Times New Roman" w:eastAsia="標楷體"/>
          <w:b w:val="0"/>
          <w:color w:val="C00000"/>
          <w:sz w:val="22"/>
        </w:rPr>
        <w:t>圖1–12</w:t>
      </w:r>
      <w:r>
        <w:rPr>
          <w:rFonts w:ascii="Times New Roman" w:hAnsi="Times New Roman" w:eastAsia="標楷體"/>
          <w:b w:val="0"/>
          <w:sz w:val="22"/>
        </w:rPr>
        <w:t xml:space="preserve"> 為目前文章主線；</w:t>
      </w:r>
      <w:r>
        <w:rPr>
          <w:rFonts w:ascii="Times New Roman" w:hAnsi="Times New Roman" w:eastAsia="標楷體"/>
          <w:b w:val="0"/>
          <w:color w:val="C00000"/>
          <w:sz w:val="22"/>
        </w:rPr>
        <w:t>圖13–15</w:t>
      </w:r>
      <w:r>
        <w:rPr>
          <w:rFonts w:ascii="Times New Roman" w:hAnsi="Times New Roman" w:eastAsia="標楷體"/>
          <w:b w:val="0"/>
          <w:sz w:val="22"/>
        </w:rPr>
        <w:t xml:space="preserve"> 只有在 L0、Eeff(D) 與敏感度完成後才升為正式圖。文獻系譜可濃縮入</w:t>
      </w:r>
      <w:r>
        <w:rPr>
          <w:rFonts w:ascii="Times New Roman" w:hAnsi="Times New Roman" w:eastAsia="標楷體"/>
          <w:b w:val="0"/>
          <w:color w:val="C00000"/>
          <w:sz w:val="22"/>
        </w:rPr>
        <w:t>圖4</w:t>
      </w:r>
      <w:r>
        <w:rPr>
          <w:rFonts w:ascii="Times New Roman" w:hAnsi="Times New Roman" w:eastAsia="標楷體"/>
          <w:b w:val="0"/>
          <w:sz w:val="22"/>
        </w:rPr>
        <w:t xml:space="preserve"> 的小面板或前言表，不另占一張主圖。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【重點：核心圖先閉合案例—輸入—方法—驗證—結果；06 圖不以既有成品自動取得主文席位】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784"/>
        <w:gridCol w:w="4133"/>
        <w:gridCol w:w="1211"/>
        <w:gridCol w:w="3420"/>
      </w:tblGrid>
      <w:tr>
        <w:trPr>
          <w:tblHeader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圖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核心訊息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狀態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素材／必要加工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場址、坡體、隧道曲線段與研究尺度的空間關係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需重繪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附圖95/96＋App5；統一座標與方向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圖2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現地病害證據：分期展開圖、LiDAR、裂縫計與修復事件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必補 provenance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每一時期、量測範圍與可比性須標清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圖3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現地水文 observation 與 100 m scenario input 分離呈現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必改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左：觀測／擬合；右：11-stage 情境及適用域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圖4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跨尺度 continuum→continuum→BPM 流程、交換量與證據邊界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必改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圖5-01＋5-05；06 回饋以虛線且標 exploratory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圖5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三尺度模型幾何、地層、邊界與網格／粒徑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可整併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圖5-02/03/04；標出共享區與輸出位置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圖6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水力—有效應力—門檻活化的模型內機制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可用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圖5-14；補變數定義與時間點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圖7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乾季—升水—濕峰—退水的跨尺度活化演化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可整併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圖5-08＋5-12；相同色階與三個關鍵時點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圖8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襯砌微損傷歷程與 A_wet/A_frz 定義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可用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圖5-15；標分母、stage duration 與 100 m scenario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圖9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外壓、內力、收斂與損傷位置之對應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需整併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圖5-16/17/18；避免只報極值不報位置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圖10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BPM 材料率定、CONTROL-0、registry 與聚類 QA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目前缺主圖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E/ν/UCS/ft、破壞型態、起裂與守恆／底噪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圖11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模擬微損傷群聚與現地病害的同座標分區／型態比較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必改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圖5-19＋現地圖；明標不是逐裂縫驗證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圖12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三維損傷群聚演化與主要空間帶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可用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圖5-20；caption 使用 damage cluster／reconstructed crack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圖13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06 分割式交錯回饋流程與 26-tick 狀態傳遞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條件式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FIG06-01；不用 strong coupling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圖14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同時段同交換節點 L0 vs T5、uniform-D vs mapped-D 與區間敏感度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尚未具備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L0、Eeff(D)、2.5/5/10-day 或可行替代對照</w:t>
            </w:r>
          </w:p>
        </w:tc>
      </w:tr>
      <w:tr>
        <w:trPr>
          <w:cantSplit/>
        </w:trPr>
        <w:tc>
          <w:tcPr>
            <w:tcW w:type="dxa" w:w="7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17"/>
              </w:rPr>
              <w:t>圖15</w:t>
            </w:r>
          </w:p>
        </w:tc>
        <w:tc>
          <w:tcPr>
            <w:tcW w:type="dxa" w:w="413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可觀測量—數值指標—巡檢分區之工程轉譯</w:t>
            </w:r>
          </w:p>
        </w:tc>
        <w:tc>
          <w:tcPr>
            <w:tcW w:type="dxa" w:w="1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條件式</w:t>
            </w:r>
          </w:p>
        </w:tc>
        <w:tc>
          <w:tcPr>
            <w:tcW w:type="dxa" w:w="34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不用「損傷泵」當既定結論；需可執行指標</w:t>
            </w:r>
          </w:p>
        </w:tc>
      </w:tr>
    </w:tbl>
    <w:p/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855"/>
        <w:gridCol w:w="3491"/>
        <w:gridCol w:w="5202"/>
      </w:tblGrid>
      <w:tr>
        <w:trPr>
          <w:tblHeader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表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內容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必要欄位／用途</w:t>
            </w:r>
          </w:p>
        </w:tc>
      </w:tr>
      <w:tr>
        <w:trPr>
          <w:cantSplit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18"/>
              </w:rPr>
              <w:t>表1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文獻證據矩陣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主題標籤＋方法＋論證角色＋A/B/B*/C；不含 this study 比較列</w:t>
            </w:r>
          </w:p>
        </w:tc>
      </w:tr>
      <w:tr>
        <w:trPr>
          <w:cantSplit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18"/>
              </w:rPr>
              <w:t>表2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三尺度模型、參數與 provenance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數值、單位、來源、尺度轉換、使用模型、敏感度狀態</w:t>
            </w:r>
          </w:p>
        </w:tc>
      </w:tr>
      <w:tr>
        <w:trPr>
          <w:cantSplit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18"/>
              </w:rPr>
              <w:t>表3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門檻、本構、BPM 率定與 QA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目標值、模擬值、誤差、試件、破壞型態、起裂與聚類門檻</w:t>
            </w:r>
          </w:p>
        </w:tc>
      </w:tr>
      <w:tr>
        <w:trPr>
          <w:cantSplit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18"/>
              </w:rPr>
              <w:t>表4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現地證據與情境輸入矩陣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observation／inference／scenario input 分欄，避免證據層級混寫</w:t>
            </w:r>
          </w:p>
        </w:tc>
      </w:tr>
      <w:tr>
        <w:trPr>
          <w:cantSplit/>
        </w:trPr>
        <w:tc>
          <w:tcPr>
            <w:tcW w:type="dxa" w:w="85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18"/>
              </w:rPr>
              <w:t>表5</w:t>
            </w:r>
          </w:p>
        </w:tc>
        <w:tc>
          <w:tcPr>
            <w:tcW w:type="dxa" w:w="34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05、L0、T5 與敏感度對照</w:t>
            </w:r>
          </w:p>
        </w:tc>
        <w:tc>
          <w:tcPr>
            <w:tcW w:type="dxa" w:w="52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相同時間離散、位移、反力、D、斷鍵、分類、QA；L0 未完成前不定版</w:t>
            </w:r>
          </w:p>
        </w:tc>
      </w:tr>
    </w:tbl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先確認 12 張核心圖是否足以講完 05；06 三圖待控制組完成後再決定是否進主文。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