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標楷體"/>
          <w:b/>
          <w:sz w:val="32"/>
        </w:rPr>
        <w:t>摘要與關鍵字（證據校準工作稿；05 為主、06 為探索）</w:t>
      </w:r>
    </w:p>
    <w:p>
      <w:r>
        <w:rPr>
          <w:rFonts w:ascii="Times New Roman" w:hAnsi="Times New Roman" w:eastAsia="標楷體"/>
          <w:b w:val="0"/>
          <w:sz w:val="22"/>
        </w:rPr>
        <w:t>本版先按「案例—機制型文章」撰寫：摘要以 05 成熟鏈為主，06 僅保留探索性一句。若後續完成 L0、Eeff(D) 與交換間隔敏感度，再另行升格 06 結果；摘要不以文獻題目統計取代研究事實，也不放未回填的驗證句。</w:t>
      </w:r>
      <w:r>
        <w:rPr>
          <w:rFonts w:ascii="Times New Roman" w:hAnsi="Times New Roman" w:eastAsia="標楷體"/>
          <w:b w:val="0"/>
          <w:sz w:val="22"/>
        </w:rPr>
        <w:t xml:space="preserve">　</w:t>
      </w:r>
      <w:r>
        <w:rPr>
          <w:rFonts w:ascii="Times New Roman" w:hAnsi="Times New Roman" w:eastAsia="標楷體"/>
          <w:b w:val="0"/>
          <w:color w:val="000000"/>
          <w:sz w:val="20"/>
          <w:highlight w:val="yellow"/>
        </w:rPr>
        <w:t>【重點：摘要中的每個數字都必須能回指同一版本之圖、表、manifest 或現地資料】</w:t>
      </w:r>
    </w:p>
    <w:p>
      <w:pPr>
        <w:pStyle w:val="Heading2"/>
      </w:pPr>
      <w:r>
        <w:rPr>
          <w:rFonts w:ascii="Times New Roman" w:hAnsi="Times New Roman" w:eastAsia="標楷體"/>
          <w:b/>
          <w:sz w:val="28"/>
        </w:rPr>
        <w:t>建議摘要 A｜案例—機制主線</w:t>
      </w:r>
    </w:p>
    <w:p>
      <w:r>
        <w:rPr>
          <w:rFonts w:ascii="Times New Roman" w:hAnsi="Times New Roman" w:eastAsia="標楷體"/>
          <w:b w:val="0"/>
          <w:sz w:val="24"/>
        </w:rPr>
        <w:t>營運山岳隧道之襯砌病害常與坡體依時變形及水文變動並存，但有限的現地資料通常不足以分離各成因。既有研究已分別說明地下水載重、水位升降之路徑相依、水—岩依時行為、坡隧互制與襯砌裂縫演化；然而，循環水位、依時圍岩反應與顯式襯砌損傷如何在案例導向的跨尺度框架內共同作用，仍未獲充分釐清。本研究以臺灣一座營運山岳鐵路隧道為工程背景，彙整地質調查、多期 LiDAR、病害展開圖、裂縫計與水位資料。其中地質與水文資料用於模型及情境建置，巡檢資料則保留作病害分區與型態層級比較；據此建立由坡地尺度、隧道近場至襯砌 BPM 的三尺度連續—離散數值流程。數值水位循環定位為放大情境，而非實測歷程的直接重現。130 天、11 階段的單向分析顯示，在本研究情境與門檻本構下，濕季損傷速率相對初始乾季之比 A_wet 為 7.0，退水後相對濕季之比 A_frz 為 0.0046，顯示微損傷增量集中於高水位時窗。微損傷事件經空間聚類後，可在分區與型態層級和現地病害資料對照，但不作逐裂縫驗證。另以 26 個 5-day tick 進行初步交錯式損傷—勁度更新試算，以檢查流程可行性；現階段不作定量回饋歸因。研究結果建立了一條可追溯的案例導向跨尺度分析路徑，可供營運隧道水文監測與病害分區之機制判釋參考。</w:t>
      </w:r>
      <w:r>
        <w:rPr>
          <w:rFonts w:ascii="Times New Roman" w:hAnsi="Times New Roman" w:eastAsia="標楷體"/>
          <w:b w:val="0"/>
          <w:sz w:val="24"/>
        </w:rPr>
        <w:t xml:space="preserve">　</w:t>
      </w:r>
      <w:r>
        <w:rPr>
          <w:rFonts w:ascii="Times New Roman" w:hAnsi="Times New Roman" w:eastAsia="標楷體"/>
          <w:b w:val="0"/>
          <w:color w:val="000000"/>
          <w:sz w:val="22"/>
          <w:highlight w:val="yellow"/>
        </w:rPr>
        <w:t>【重點：結論限定於模型機制、相對趨勢與分區判釋，不延伸成現地單因證明或壽命預測】</w:t>
      </w:r>
    </w:p>
    <w:p>
      <w:pPr>
        <w:pStyle w:val="Heading2"/>
      </w:pPr>
      <w:r>
        <w:rPr>
          <w:rFonts w:ascii="Times New Roman" w:hAnsi="Times New Roman" w:eastAsia="標楷體"/>
          <w:b/>
          <w:sz w:val="28"/>
        </w:rPr>
        <w:t>摘要禁用／待證明措辭</w:t>
      </w:r>
    </w:p>
    <w:p>
      <w:pPr>
        <w:pStyle w:val="ListBullet"/>
      </w:pPr>
      <w:r>
        <w:rPr>
          <w:rFonts w:ascii="Times New Roman" w:hAnsi="Times New Roman" w:eastAsia="標楷體"/>
          <w:b w:val="0"/>
          <w:sz w:val="21"/>
        </w:rPr>
        <w:t>「地下水循環驅動現地裂縫」：目前只能寫 under cyclic groundwater-level fluctuations。</w:t>
      </w:r>
    </w:p>
    <w:p>
      <w:pPr>
        <w:pStyle w:val="ListBullet"/>
      </w:pPr>
      <w:r>
        <w:rPr>
          <w:rFonts w:ascii="Times New Roman" w:hAnsi="Times New Roman" w:eastAsia="標楷體"/>
          <w:b w:val="0"/>
          <w:sz w:val="21"/>
        </w:rPr>
        <w:t>「模擬與現地一致／驗證成功」：目前只允許 spatial-zone／pattern-level comparison。</w:t>
      </w:r>
    </w:p>
    <w:p>
      <w:pPr>
        <w:pStyle w:val="ListBullet"/>
      </w:pPr>
      <w:r>
        <w:rPr>
          <w:rFonts w:ascii="Times New Roman" w:hAnsi="Times New Roman" w:eastAsia="標楷體"/>
          <w:b w:val="0"/>
          <w:sz w:val="21"/>
        </w:rPr>
        <w:t>「2.83 倍由雙向回饋造成」：L0 與敏感度未完成前只能寫 T5 與 v6 的觀察差異。</w:t>
      </w:r>
    </w:p>
    <w:p>
      <w:pPr>
        <w:pStyle w:val="ListBullet"/>
      </w:pPr>
      <w:r>
        <w:rPr>
          <w:rFonts w:ascii="Times New Roman" w:hAnsi="Times New Roman" w:eastAsia="標楷體"/>
          <w:b w:val="0"/>
          <w:sz w:val="21"/>
        </w:rPr>
        <w:t>「RC 襯砌裂縫」：未表現配筋時使用 plain-concrete idealization／BPM lining。</w:t>
      </w:r>
    </w:p>
    <w:p>
      <w:pPr>
        <w:pStyle w:val="ListBullet"/>
      </w:pPr>
      <w:r>
        <w:rPr>
          <w:rFonts w:ascii="Times New Roman" w:hAnsi="Times New Roman" w:eastAsia="標楷體"/>
          <w:b w:val="0"/>
          <w:sz w:val="21"/>
        </w:rPr>
        <w:t>「裂縫數」：原始 bond breaks 應稱 microdamage events；聚類重建後才稱 cracks。</w:t>
      </w:r>
    </w:p>
    <w:p>
      <w:pPr>
        <w:pStyle w:val="Heading2"/>
      </w:pPr>
      <w:r>
        <w:rPr>
          <w:rFonts w:ascii="Times New Roman" w:hAnsi="Times New Roman" w:eastAsia="標楷體"/>
          <w:b/>
          <w:sz w:val="28"/>
        </w:rPr>
        <w:t>關鍵字（工作版）</w:t>
      </w:r>
    </w:p>
    <w:p>
      <w:r>
        <w:rPr>
          <w:rFonts w:ascii="Times New Roman" w:hAnsi="Times New Roman" w:eastAsia="標楷體"/>
          <w:b w:val="0"/>
          <w:sz w:val="21"/>
        </w:rPr>
        <w:t>EN: operating tunnel; groundwater-level fluctuation; time-dependent rock deformation; lining damage; cross-scale modeling; bonded-particle model</w:t>
      </w:r>
    </w:p>
    <w:p>
      <w:r>
        <w:rPr>
          <w:rFonts w:ascii="Times New Roman" w:hAnsi="Times New Roman" w:eastAsia="標楷體"/>
          <w:b w:val="0"/>
          <w:sz w:val="21"/>
        </w:rPr>
        <w:t>中：營運隧道；地下水位變動；岩體依時變形；襯砌損傷；跨尺度模擬；鍵結顆粒模型</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標楷體"/>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標楷體"/>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標楷體"/>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標楷體"/>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