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研究方法 v2（3 節＋假設前置區；細節引前作與碩論）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2.1 跨尺度架構與資料傳遞（含【建模假設前置區】＝A1 假設條款前置法）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2.2 門檻滯動潛變模式（引前作只寫差異：T 門檻掃描定準法、s1 T=1.0 物理錨點）</w:t>
      </w:r>
    </w:p>
    <w:p>
      <w:pPr>
        <w:ind w:left="360"/>
      </w:pPr>
      <w:r>
        <w:rPr>
          <w:rFonts w:ascii="Times New Roman" w:hAnsi="Times New Roman" w:eastAsia="標楷體"/>
          <w:b w:val="0"/>
          <w:sz w:val="23"/>
        </w:rPr>
        <w:t>2.3 BPM 襯砌與損傷量化（G4 鑄造、錨定帶、D=斷鍵/registry、三軌分類、QA 一段）</w:t>
      </w:r>
    </w:p>
    <w:p>
      <w:r>
        <w:rPr>
          <w:rFonts w:ascii="Times New Roman" w:hAnsi="Times New Roman" w:eastAsia="標楷體"/>
          <w:b w:val="0"/>
          <w:sz w:val="23"/>
        </w:rPr>
        <w:t>雙向方法不設節——Ch2 末一句預告、全部內容在 5.1。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【重點：方法章只寫單向；雙向是討論】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