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方法各節核心（防禦式寫法）</w:t>
      </w:r>
    </w:p>
    <w:p>
      <w:r>
        <w:rPr>
          <w:rFonts w:ascii="Times New Roman" w:hAnsi="Times New Roman" w:eastAsia="標楷體"/>
          <w:b w:val="0"/>
          <w:sz w:val="23"/>
        </w:rPr>
        <w:t>2.1 開頭即設【建模假設清單】：編號條列（趨勢級 f=0.25、水位面家族情境、K0、邊界處理），每條掛 1–4 篇前例文獻當護盾（</w:t>
      </w:r>
      <w:r>
        <w:rPr>
          <w:rFonts w:ascii="Times New Roman" w:hAnsi="Times New Roman" w:eastAsia="標楷體"/>
          <w:b w:val="0"/>
          <w:color w:val="1F4EC8"/>
          <w:sz w:val="23"/>
        </w:rPr>
        <w:t>(Wu et al., 2024)</w:t>
      </w:r>
      <w:r>
        <w:rPr>
          <w:rFonts w:ascii="Times New Roman" w:hAnsi="Times New Roman" w:eastAsia="標楷體"/>
          <w:b w:val="0"/>
          <w:sz w:val="23"/>
        </w:rPr>
        <w:t xml:space="preserve"> General consideration 式；</w:t>
      </w:r>
      <w:r>
        <w:rPr>
          <w:rFonts w:ascii="Times New Roman" w:hAnsi="Times New Roman" w:eastAsia="標楷體"/>
          <w:b w:val="0"/>
          <w:color w:val="1F4EC8"/>
          <w:sz w:val="23"/>
        </w:rPr>
        <w:t>(Fahimifar &amp; Zareifard, 2009)</w:t>
      </w:r>
      <w:r>
        <w:rPr>
          <w:rFonts w:ascii="Times New Roman" w:hAnsi="Times New Roman" w:eastAsia="標楷體"/>
          <w:b w:val="0"/>
          <w:sz w:val="23"/>
        </w:rPr>
        <w:t xml:space="preserve"> 編號 bullet 式）——先講清楚，之後全文不再道歉。傳遞一致性（Kabsch＋應變檢核&lt;1e-9）寫成可信度主張。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【重點：假設=設定不是懺悔；一次講完不回頭】</w:t>
      </w:r>
    </w:p>
    <w:p>
      <w:r>
        <w:rPr>
          <w:rFonts w:ascii="Times New Roman" w:hAnsi="Times New Roman" w:eastAsia="標楷體"/>
          <w:b w:val="0"/>
          <w:sz w:val="23"/>
        </w:rPr>
        <w:t>2.2 核心：T 不是自由參數——乾季近零活化＝定準錨點（掃描法）；與前作 λ 的關係一句交代（尺度與圍壓域不同）。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【重點：門檻定準法=回應口委的正面設計】</w:t>
      </w:r>
    </w:p>
    <w:p>
      <w:r>
        <w:rPr>
          <w:rFonts w:ascii="Times New Roman" w:hAnsi="Times New Roman" w:eastAsia="標楷體"/>
          <w:b w:val="0"/>
          <w:sz w:val="23"/>
        </w:rPr>
        <w:t>2.3 核心：鍵結斷裂＝微損傷、三軌法聚合成工程裂縫（</w:t>
      </w:r>
      <w:r>
        <w:rPr>
          <w:rFonts w:ascii="Times New Roman" w:hAnsi="Times New Roman" w:eastAsia="標楷體"/>
          <w:b w:val="0"/>
          <w:color w:val="1F4EC8"/>
          <w:sz w:val="23"/>
        </w:rPr>
        <w:t>(Zheng et al., 2024)</w:t>
      </w:r>
      <w:r>
        <w:rPr>
          <w:rFonts w:ascii="Times New Roman" w:hAnsi="Times New Roman" w:eastAsia="標楷體"/>
          <w:b w:val="0"/>
          <w:sz w:val="23"/>
        </w:rPr>
        <w:t xml:space="preserve"> 同型定義）；分母凍結（registry 2.08M）使 D 可跨情境比較；QA（CONTROL-0 基線、gates）一段寫成方法特色。標定敘事引 </w:t>
      </w:r>
      <w:r>
        <w:rPr>
          <w:rFonts w:ascii="Times New Roman" w:hAnsi="Times New Roman" w:eastAsia="標楷體"/>
          <w:b w:val="0"/>
          <w:color w:val="1F4EC8"/>
          <w:sz w:val="23"/>
        </w:rPr>
        <w:t>(Potyondy &amp; Cundall, 2004)</w:t>
      </w:r>
      <w:r>
        <w:rPr>
          <w:rFonts w:ascii="Times New Roman" w:hAnsi="Times New Roman" w:eastAsia="標楷體"/>
          <w:b w:val="0"/>
          <w:color w:val="1F4EC8"/>
          <w:sz w:val="23"/>
        </w:rPr>
        <w:t>(Tsang et al., 2023)</w:t>
      </w:r>
      <w:r>
        <w:rPr>
          <w:rFonts w:ascii="Times New Roman" w:hAnsi="Times New Roman" w:eastAsia="標楷體"/>
          <w:b w:val="0"/>
          <w:sz w:val="23"/>
        </w:rPr>
        <w:t>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【重點：QA 入正文=審稿人最買單的可信度證據】</w:t>
      </w:r>
    </w:p>
    <w:p>
      <w:r>
        <w:rPr>
          <w:rFonts w:ascii="Times New Roman" w:hAnsi="Times New Roman" w:eastAsia="標楷體"/>
          <w:b w:val="0"/>
          <w:sz w:val="23"/>
        </w:rPr>
        <w:t>【v3 三件方法章戰術】①**驗證階梯**（</w:t>
      </w:r>
      <w:r>
        <w:rPr>
          <w:rFonts w:ascii="Times New Roman" w:hAnsi="Times New Roman" w:eastAsia="標楷體"/>
          <w:b w:val="0"/>
          <w:color w:val="1F4EC8"/>
          <w:sz w:val="23"/>
        </w:rPr>
        <w:t>(Liu &amp; Sun, 2019)</w:t>
      </w:r>
      <w:r>
        <w:rPr>
          <w:rFonts w:ascii="Times New Roman" w:hAnsi="Times New Roman" w:eastAsia="標楷體"/>
          <w:b w:val="0"/>
          <w:sz w:val="23"/>
        </w:rPr>
        <w:t xml:space="preserve"> 三級／</w:t>
      </w:r>
      <w:r>
        <w:rPr>
          <w:rFonts w:ascii="Times New Roman" w:hAnsi="Times New Roman" w:eastAsia="標楷體"/>
          <w:b w:val="0"/>
          <w:color w:val="1F4EC8"/>
          <w:sz w:val="23"/>
        </w:rPr>
        <w:t>(Vazaios et al., 2019)</w:t>
      </w:r>
      <w:r>
        <w:rPr>
          <w:rFonts w:ascii="Times New Roman" w:hAnsi="Times New Roman" w:eastAsia="標楷體"/>
          <w:b w:val="0"/>
          <w:sz w:val="23"/>
        </w:rPr>
        <w:t xml:space="preserve"> 三級跳）：由簡至繁——解析解 benchmark（</w:t>
      </w:r>
      <w:r>
        <w:rPr>
          <w:rFonts w:ascii="Times New Roman" w:hAnsi="Times New Roman" w:eastAsia="標楷體"/>
          <w:b w:val="0"/>
          <w:color w:val="1F4EC8"/>
          <w:sz w:val="23"/>
        </w:rPr>
        <w:t>(Fahimifar &amp; Zareifard, 2009)</w:t>
      </w:r>
      <w:r>
        <w:rPr>
          <w:rFonts w:ascii="Times New Roman" w:hAnsi="Times New Roman" w:eastAsia="標楷體"/>
          <w:b w:val="0"/>
          <w:sz w:val="23"/>
        </w:rPr>
        <w:t xml:space="preserve"> 量級對照）→單元/構件級對照→現地監測比對，每級收一個量化誤差並以一句 verdict 收尾；第三級最值錢（讓模擬回答巡檢報告只能推測的裂縫—水位關聯）。②**粒徑反轉**（</w:t>
      </w:r>
      <w:r>
        <w:rPr>
          <w:rFonts w:ascii="Times New Roman" w:hAnsi="Times New Roman" w:eastAsia="標楷體"/>
          <w:b w:val="0"/>
          <w:color w:val="1F4EC8"/>
          <w:sz w:val="23"/>
        </w:rPr>
        <w:t>(Potyondy &amp; Cundall, 2004)</w:t>
      </w:r>
      <w:r>
        <w:rPr>
          <w:rFonts w:ascii="Times New Roman" w:hAnsi="Times New Roman" w:eastAsia="標楷體"/>
          <w:b w:val="0"/>
          <w:sz w:val="23"/>
        </w:rPr>
        <w:t xml:space="preserve"> 原典戰法）：DEM 最常被打的「粒徑怎麼選」反轉為物理內涵——兩尺度敏感度掃描→韌度與強度連動→據此選粒徑，並主動寫進摘要。③**零調參可信度**（</w:t>
      </w:r>
      <w:r>
        <w:rPr>
          <w:rFonts w:ascii="Times New Roman" w:hAnsi="Times New Roman" w:eastAsia="標楷體"/>
          <w:b w:val="0"/>
          <w:color w:val="1F4EC8"/>
          <w:sz w:val="23"/>
        </w:rPr>
        <w:t>(Lisjak et al., 2015)</w:t>
      </w:r>
      <w:r>
        <w:rPr>
          <w:rFonts w:ascii="Times New Roman" w:hAnsi="Times New Roman" w:eastAsia="標楷體"/>
          <w:b w:val="0"/>
          <w:sz w:val="23"/>
        </w:rPr>
        <w:t>）：接觸參數在實驗室/他案率定後**凍結不動**，</w:t>
      </w:r>
      <w:r>
        <w:rPr>
          <w:rFonts w:ascii="Times New Roman" w:hAnsi="Times New Roman" w:eastAsia="標楷體"/>
          <w:b w:val="0"/>
          <w:color w:val="008040"/>
          <w:sz w:val="23"/>
        </w:rPr>
        <w:t>表2</w:t>
      </w:r>
      <w:r>
        <w:rPr>
          <w:rFonts w:ascii="Times New Roman" w:hAnsi="Times New Roman" w:eastAsia="標楷體"/>
          <w:b w:val="0"/>
          <w:color w:val="008040"/>
          <w:sz w:val="23"/>
        </w:rPr>
        <w:t>表3</w:t>
      </w:r>
      <w:r>
        <w:rPr>
          <w:rFonts w:ascii="Times New Roman" w:hAnsi="Times New Roman" w:eastAsia="標楷體"/>
          <w:b w:val="0"/>
          <w:sz w:val="23"/>
        </w:rPr>
        <w:t xml:space="preserve"> 逐列註腳標出處——宣示預測性而非擬合性。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【重點：驗證階梯+粒徑反轉+參數凍結=方法章三道護城河】</w:t>
      </w:r>
    </w:p>
    <w:p>
      <w:r>
        <w:rPr>
          <w:rFonts w:ascii="Times New Roman" w:hAnsi="Times New Roman" w:eastAsia="標楷體"/>
          <w:b w:val="0"/>
          <w:sz w:val="23"/>
        </w:rPr>
        <w:t>【v4 混合法正當性的正確寫法，</w:t>
      </w:r>
      <w:r>
        <w:rPr>
          <w:rFonts w:ascii="Times New Roman" w:hAnsi="Times New Roman" w:eastAsia="標楷體"/>
          <w:b w:val="0"/>
          <w:color w:val="1F4EC8"/>
          <w:sz w:val="23"/>
        </w:rPr>
        <w:t>(Rasmussen &amp; Min, 2024)</w:t>
      </w:r>
      <w:r>
        <w:rPr>
          <w:rFonts w:ascii="Times New Roman" w:hAnsi="Times New Roman" w:eastAsia="標楷體"/>
          <w:b w:val="0"/>
          <w:sz w:val="23"/>
        </w:rPr>
        <w:t xml:space="preserve"> 全文校正】其論證**不是**「省算力／解析度只給熱區」，而是「兩個 however 縫成一個 gap」三段式：連續體應用直接了當、**然而**剝落等非連續本質被不當表現；離散體天生能表現、**然而**校正耗時且參數組非唯一而難以標準化；Therefore 結合兩者之優點的方法對該現象是有益的。我方 FDM(圍岩)–DEM(襯砌) 分工須逐句對位改寫——理由必須是「兩邊各有一件對方做不到的事」，**省算力只能當結果、不能當理由**。（其空間分區僅陳述不辯護：細網格限半徑3–3.8 m 內，中心到邊界尺度比 23–44 倍。）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【重點：混合法的理由＝能力互補，不是省算力】</w:t>
      </w:r>
    </w:p>
    <w:p>
      <w:r>
        <w:rPr>
          <w:rFonts w:ascii="Times New Roman" w:hAnsi="Times New Roman" w:eastAsia="標楷體"/>
          <w:b w:val="0"/>
          <w:sz w:val="23"/>
        </w:rPr>
        <w:t>【v4 介面交握段的直接前例，</w:t>
      </w:r>
      <w:r>
        <w:rPr>
          <w:rFonts w:ascii="Times New Roman" w:hAnsi="Times New Roman" w:eastAsia="標楷體"/>
          <w:b w:val="0"/>
          <w:color w:val="1F4EC8"/>
          <w:sz w:val="23"/>
        </w:rPr>
        <w:t>(Wang et al., 2020)</w:t>
      </w:r>
      <w:r>
        <w:rPr>
          <w:rFonts w:ascii="Times New Roman" w:hAnsi="Times New Roman" w:eastAsia="標楷體"/>
          <w:b w:val="0"/>
          <w:sz w:val="23"/>
        </w:rPr>
        <w:t xml:space="preserve"> 全文】其專設 §2.2 小節＋專屬示意圖交代：PFC 內生成與 FLAC zone face 幾何重合之 particle wall（wall slaved 於 zone face）；連續體→DEM 傳位置與速度、DEM→連續體傳顆粒–facet 接觸力與力矩；分配律為重心內插、以接觸點在 facet 上之最近點為局部原點，**同時滿足三向力平衡與三軸力矩平衡**（確保接觸偏心不在連續域產生虛假淨力矩）。遠場地應力只施加於連續體外域、DEM 內域僅透過介面感受外域運動——此即「以耦合降低邊界效應」的實作核心。我方應同樣專設一小節＋一張介面示意圖。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【重點：介面段=專節+專圖+力與力矩雙平衡宣告】</w:t>
      </w:r>
    </w:p>
    <w:p>
      <w:r>
        <w:rPr>
          <w:rFonts w:ascii="Times New Roman" w:hAnsi="Times New Roman" w:eastAsia="標楷體"/>
          <w:b w:val="0"/>
          <w:sz w:val="23"/>
        </w:rPr>
        <w:t>【v4 BPM 標定的兩發審稿彈藥】①**拉壓比問題必須正面處理**（</w:t>
      </w:r>
      <w:r>
        <w:rPr>
          <w:rFonts w:ascii="Times New Roman" w:hAnsi="Times New Roman" w:eastAsia="標楷體"/>
          <w:b w:val="0"/>
          <w:color w:val="1F4EC8"/>
          <w:sz w:val="23"/>
        </w:rPr>
        <w:t>(Cho et al., 2007)</w:t>
      </w:r>
      <w:r>
        <w:rPr>
          <w:rFonts w:ascii="Times New Roman" w:hAnsi="Times New Roman" w:eastAsia="標楷體"/>
          <w:b w:val="0"/>
          <w:sz w:val="23"/>
        </w:rPr>
        <w:t xml:space="preserve"> 全文數據）：原始圓顆粒 BPM 之 σt/σci≈0.25（UCS/BTS≈4），而真實岩石為 0.04–0.03（UCS/BTS≈24–30），且破壞包絡線為線性、無張力截斷——「BPM 憑什麼代表混凝土襯砌」必以此數字為起點作答（我方 D7 標定之 fc/ft=41.2/4.12=10，須說明落在何處、為何可接受）。②**標定目標反應要選對**（</w:t>
      </w:r>
      <w:r>
        <w:rPr>
          <w:rFonts w:ascii="Times New Roman" w:hAnsi="Times New Roman" w:eastAsia="標楷體"/>
          <w:b w:val="0"/>
          <w:color w:val="1F4EC8"/>
          <w:sz w:val="23"/>
        </w:rPr>
        <w:t>(Yoon, 2007)</w:t>
      </w:r>
      <w:r>
        <w:rPr>
          <w:rFonts w:ascii="Times New Roman" w:hAnsi="Times New Roman" w:eastAsia="標楷體"/>
          <w:b w:val="0"/>
          <w:sz w:val="23"/>
        </w:rPr>
        <w:t xml:space="preserve"> 敏感度排序）：彈性與強度幾近正交（E 由 BCM 佔 52%、ν 由 KNKS 佔 78%、強度由 NBS+SBS 佔 61%）故可解耦為「先彈性後強度」；**關鍵：ROSD 對 UCS 僅 1.5% 影響卻主宰裂縫起始應力 σ_ci 達 37.8%**——我們研究的是襯砌「裂縫起始」而非崩塌，標定目標反應必須含 σ_ci，只用 UCS 校不出來。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【重點：拉壓比正面作答＋標定以 σ_ci 為目標＝BPM 章的兩道生死線】</w:t>
      </w:r>
    </w:p>
    <w:p>
      <w:r>
        <w:rPr>
          <w:rFonts w:ascii="Times New Roman" w:hAnsi="Times New Roman" w:eastAsia="標楷體"/>
          <w:b/>
          <w:sz w:val="26"/>
        </w:rPr>
        <w:t>★ 2.3 核心論證鏈：BPM 憑什麼代表混凝土襯砌（問題→修正→我們的選擇→混凝土依據）</w:t>
      </w:r>
    </w:p>
    <w:p>
      <w:r>
        <w:rPr>
          <w:rFonts w:ascii="Times New Roman" w:hAnsi="Times New Roman" w:eastAsia="標楷體"/>
          <w:b w:val="0"/>
          <w:sz w:val="23"/>
        </w:rPr>
        <w:t>【第一步・問題】圓顆粒 BPM 之單軸抗壓/抗拉比僅約 3–7，而真實完整岩石為 10–20</w:t>
      </w:r>
      <w:r>
        <w:rPr>
          <w:rFonts w:ascii="Times New Roman" w:hAnsi="Times New Roman" w:eastAsia="標楷體"/>
          <w:b w:val="0"/>
          <w:color w:val="1F4EC8"/>
          <w:sz w:val="23"/>
        </w:rPr>
        <w:t>(Wu &amp; Xu, 2016)</w:t>
      </w:r>
      <w:r>
        <w:rPr>
          <w:rFonts w:ascii="Times New Roman" w:hAnsi="Times New Roman" w:eastAsia="標楷體"/>
          <w:b w:val="0"/>
          <w:sz w:val="23"/>
        </w:rPr>
        <w:t>；同一缺陷以另一口徑表述為 σt/σci≈0.25（UCS/BTS≈4），真實岩石則為 0.04–0.03</w:t>
      </w:r>
      <w:r>
        <w:rPr>
          <w:rFonts w:ascii="Times New Roman" w:hAnsi="Times New Roman" w:eastAsia="標楷體"/>
          <w:b w:val="0"/>
          <w:color w:val="1F4EC8"/>
          <w:sz w:val="23"/>
        </w:rPr>
        <w:t>(Cho et al., 2007)</w:t>
      </w:r>
      <w:r>
        <w:rPr>
          <w:rFonts w:ascii="Times New Roman" w:hAnsi="Times New Roman" w:eastAsia="標楷體"/>
          <w:b w:val="0"/>
          <w:sz w:val="23"/>
        </w:rPr>
        <w:t>，且破壞包絡線為線性、無張力截斷。另兩個內在問題為內摩擦角偏低與 m_i 偏低——**</w:t>
      </w:r>
      <w:r>
        <w:rPr>
          <w:rFonts w:ascii="Times New Roman" w:hAnsi="Times New Roman" w:eastAsia="標楷體"/>
          <w:b w:val="0"/>
          <w:color w:val="1F4EC8"/>
          <w:sz w:val="23"/>
        </w:rPr>
        <w:t>(Wu &amp; Xu, 2016)</w:t>
      </w:r>
      <w:r>
        <w:rPr>
          <w:rFonts w:ascii="Times New Roman" w:hAnsi="Times New Roman" w:eastAsia="標楷體"/>
          <w:b w:val="0"/>
          <w:sz w:val="23"/>
        </w:rPr>
        <w:t xml:space="preserve"> 對此二者僅作定性陳述、未給標準 BPM 之數值，撰稿時不可宣稱其已量化**。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【重點：問題端數字：3–7 vs 10–20；勿超譯】</w:t>
      </w:r>
    </w:p>
    <w:p>
      <w:r>
        <w:rPr>
          <w:rFonts w:ascii="Times New Roman" w:hAnsi="Times New Roman" w:eastAsia="標楷體"/>
          <w:b w:val="0"/>
          <w:sz w:val="23"/>
        </w:rPr>
        <w:t>【第二步・修正】前人補救仍不達標：</w:t>
      </w:r>
      <w:r>
        <w:rPr>
          <w:rFonts w:ascii="Times New Roman" w:hAnsi="Times New Roman" w:eastAsia="標楷體"/>
          <w:b w:val="0"/>
          <w:color w:val="1F4EC8"/>
          <w:sz w:val="23"/>
        </w:rPr>
        <w:t>(Cho et al., 2007)</w:t>
      </w:r>
      <w:r>
        <w:rPr>
          <w:rFonts w:ascii="Times New Roman" w:hAnsi="Times New Roman" w:eastAsia="標楷體"/>
          <w:b w:val="0"/>
          <w:sz w:val="23"/>
        </w:rPr>
        <w:t xml:space="preserve"> 即使 99% 顆粒 clump 化，抗壓/抗拉比僅約 14 且峰後轉為延性。</w:t>
      </w:r>
      <w:r>
        <w:rPr>
          <w:rFonts w:ascii="Times New Roman" w:hAnsi="Times New Roman" w:eastAsia="標楷體"/>
          <w:b w:val="0"/>
          <w:color w:val="1F4EC8"/>
          <w:sz w:val="23"/>
        </w:rPr>
        <w:t>(Wu &amp; Xu, 2016)</w:t>
      </w:r>
      <w:r>
        <w:rPr>
          <w:rFonts w:ascii="Times New Roman" w:hAnsi="Times New Roman" w:eastAsia="標楷體"/>
          <w:b w:val="0"/>
          <w:sz w:val="23"/>
        </w:rPr>
        <w:t xml:space="preserve"> 之 flat-joint 改由**介面離散為多個偏心元素所產生的力偶**提供轉動阻抗（而非把力矩項放進元素應力式），且鍵結破壞後虛擬面不消失、阻抗仍在——此即與 parallel-bond（力矩進應力式、破壞後歸零）的根本差異；標定後抗壓/抗拉比 22.0（實驗 21.9）、φ=29.90°（實驗 31.22°）、m_i=7.89（實驗 7.34），參數掃描可覆蓋真實岩石全區間。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【重點：修正機制＝轉動阻抗來源被換掉，不是加個力矩項】</w:t>
      </w:r>
    </w:p>
    <w:p>
      <w:r>
        <w:rPr>
          <w:rFonts w:ascii="Times New Roman" w:hAnsi="Times New Roman" w:eastAsia="標楷體"/>
          <w:b w:val="0"/>
          <w:sz w:val="23"/>
        </w:rPr>
        <w:t>【第三步・我們的選擇（三條論據，出自該文自身數據；順序不可反）】①**比值缺口小**：我方巨觀標定目標 fc/ft＝41.2/4.12＝10.0，已落在真實材料區間下緣；</w:t>
      </w:r>
      <w:r>
        <w:rPr>
          <w:rFonts w:ascii="Times New Roman" w:hAnsi="Times New Roman" w:eastAsia="標楷體"/>
          <w:b w:val="0"/>
          <w:color w:val="1F4EC8"/>
          <w:sz w:val="23"/>
        </w:rPr>
        <w:t>(Wu &amp; Xu, 2016)</w:t>
      </w:r>
      <w:r>
        <w:rPr>
          <w:rFonts w:ascii="Times New Roman" w:hAnsi="Times New Roman" w:eastAsia="標楷體"/>
          <w:b w:val="0"/>
          <w:color w:val="1F4EC8"/>
          <w:sz w:val="23"/>
        </w:rPr>
        <w:t>(Cho et al., 2007)</w:t>
      </w:r>
      <w:r>
        <w:rPr>
          <w:rFonts w:ascii="Times New Roman" w:hAnsi="Times New Roman" w:eastAsia="標楷體"/>
          <w:b w:val="0"/>
          <w:sz w:val="23"/>
        </w:rPr>
        <w:t xml:space="preserve"> 面對的是硬岩 20+ 的缺口（需拉高 3–6 倍），我方僅需 1.4–3.3 倍。②**低圍壓域**：該文 Fig.19 顯示 σ₃&lt;5 MPa 時五種 φ_b 之強度包絡線幾乎重合——「包絡線線性／m_i 偏低／內摩擦角不足」本質上是高圍壓問題；營運襯砌為低圍壓、彎曲拉伸主導，三問題中僅拉壓比對我方構成真痛點。③**計算成本（只能放最後、不可當首要理由）**：其模型 8,748 顆粒／118,626 接觸元素，我方 2.08M 鍵結約為其 53 倍，改採 flat-joint 後元素數再乘 3（約 620 萬）；該文全文對計算成本未著一字，此沉默可用。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【重點：先解決比值，才能談成本——順序反了就變成拿算力當藉口】</w:t>
      </w:r>
    </w:p>
    <w:p>
      <w:r>
        <w:rPr>
          <w:rFonts w:ascii="Times New Roman" w:hAnsi="Times New Roman" w:eastAsia="標楷體"/>
          <w:b w:val="0"/>
          <w:sz w:val="23"/>
        </w:rPr>
        <w:t>【第四步・混凝土依據】</w:t>
      </w:r>
      <w:r>
        <w:rPr>
          <w:rFonts w:ascii="Times New Roman" w:hAnsi="Times New Roman" w:eastAsia="標楷體"/>
          <w:b w:val="0"/>
          <w:color w:val="1F4EC8"/>
          <w:sz w:val="23"/>
        </w:rPr>
        <w:t>(Nitka &amp; Tejchman, 2018)</w:t>
      </w:r>
      <w:r>
        <w:rPr>
          <w:rFonts w:ascii="Times New Roman" w:hAnsi="Times New Roman" w:eastAsia="標楷體"/>
          <w:b w:val="0"/>
          <w:sz w:val="23"/>
        </w:rPr>
        <w:t xml:space="preserve"> 以 X 光 CT 實影像建立混凝土細觀離散元模型（骨材 ≥2 mm 由影像 1:1 直取為剛性 clump、水泥基質 0.5–2 mm 球體、界面過渡區為**接觸屬性而非實體相**、巨孔隙為空區），其四項可直接支撐我方「等效均質 BPM 襯砌」：①**標定係在「圓形元素＋隨機分布」之統計等效集合上完成、並不需要細觀真實幾何**——此即我方不解析骨材而採單一鍵結相的正當性；②標定目標僅 f_c、E、ν 三個巨觀量（與我方一致）；③微—巨對應為 E_macro≈3E_c、鍵結強度隨半徑平方縮放，水泥基質微觀 C/T≈5.5；④**該文全文無任何表格、材料參數散在行文中，為其可重現性缺陷——我方應反其道而行，以 </w:t>
      </w:r>
      <w:r>
        <w:rPr>
          <w:rFonts w:ascii="Times New Roman" w:hAnsi="Times New Roman" w:eastAsia="標楷體"/>
          <w:b w:val="0"/>
          <w:color w:val="008040"/>
          <w:sz w:val="23"/>
        </w:rPr>
        <w:t>表3</w:t>
      </w:r>
      <w:r>
        <w:rPr>
          <w:rFonts w:ascii="Times New Roman" w:hAnsi="Times New Roman" w:eastAsia="標楷體"/>
          <w:b w:val="0"/>
          <w:sz w:val="23"/>
        </w:rPr>
        <w:t xml:space="preserve"> 完整列出微參數與其標定目標**。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【重點：等效均質的正當性有據；並以微參數表反襯對手的可重現性缺陷】</w:t>
      </w:r>
    </w:p>
    <w:p>
      <w:r>
        <w:rPr>
          <w:rFonts w:ascii="Times New Roman" w:hAnsi="Times New Roman" w:eastAsia="標楷體"/>
          <w:b w:val="0"/>
          <w:sz w:val="23"/>
        </w:rPr>
        <w:t>【地質模型→數值模型之轉換程序，</w:t>
      </w:r>
      <w:r>
        <w:rPr>
          <w:rFonts w:ascii="Times New Roman" w:hAnsi="Times New Roman" w:eastAsia="標楷體"/>
          <w:b w:val="0"/>
          <w:color w:val="1F4EC8"/>
          <w:sz w:val="23"/>
        </w:rPr>
        <w:t>(Fabozzi et al., 2021)</w:t>
      </w:r>
      <w:r>
        <w:rPr>
          <w:rFonts w:ascii="Times New Roman" w:hAnsi="Times New Roman" w:eastAsia="標楷體"/>
          <w:b w:val="0"/>
          <w:sz w:val="23"/>
        </w:rPr>
        <w:t xml:space="preserve"> 全文所得】該文（被引 97）是「地質／資訊模型→數值模型→回寫」端到端迴路之高可見度前例，但**自身零驗證、零網格收斂、零幾何轉換誤差量化**，僅報網格總量。**正確引用法**：引它建立「前例已存在，且該前例自陳互通性不足、仍需人工介入」，再以我方補上的量化（幾何轉換偏差、網格敏感度、與實測裂縫／水位／位移比對）作為增量。其「限制反轉」修辭（承認須人工介入→論證應保留地工工程師的判斷餘裕）可借用，**但必須附敏感度數字，否則只是重演其缺陷**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【重點：引前例建立既有性，以量化補其空白＝我方增量的正當寫法】</w:t>
      </w:r>
    </w:p>
    <w:p>
      <w:r>
        <w:rPr>
          <w:rFonts w:ascii="Times New Roman" w:hAnsi="Times New Roman" w:eastAsia="標楷體"/>
          <w:b w:val="0"/>
          <w:sz w:val="23"/>
        </w:rPr>
        <w:t>【依時解析系譜之增量定位，</w:t>
      </w:r>
      <w:r>
        <w:rPr>
          <w:rFonts w:ascii="Times New Roman" w:hAnsi="Times New Roman" w:eastAsia="標楷體"/>
          <w:b w:val="0"/>
          <w:color w:val="1F4EC8"/>
          <w:sz w:val="23"/>
        </w:rPr>
        <w:t>(Fahimifar et al., 2010)</w:t>
      </w:r>
      <w:r>
        <w:rPr>
          <w:rFonts w:ascii="Times New Roman" w:hAnsi="Times New Roman" w:eastAsia="標楷體"/>
          <w:b w:val="0"/>
          <w:sz w:val="23"/>
        </w:rPr>
        <w:t xml:space="preserve"> 全文所得】其閉合解為瞬時彈性＋一次潛變＋二次潛變三項並列，並同時給出無襯砌與有襯砌解；假設含**不可壓縮（ν=0.5）、靜水初始應力、瞬時開挖、面效應以純量近似**——不可壓縮假設正是全解得以閉合的數學關鍵。我方 Modified Burgers-Mohr 相對其增量因此可精準表述為三點：**加入應力門檻（啟閉）、加入 Mohr-Coulomb 塑性、加入水位變動之有效應力路徑**；三者皆使閉合解不再存在，故須改採數值途徑——此即 §2.2 由解析轉數值之正當理由。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【重點：解析解的假設＝我方增量的清單】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