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方法文獻掛載</w:t>
      </w:r>
    </w:p>
    <w:p>
      <w:r>
        <w:rPr>
          <w:rFonts w:ascii="Times New Roman" w:hAnsi="Times New Roman" w:eastAsia="標楷體"/>
          <w:b w:val="0"/>
          <w:sz w:val="23"/>
        </w:rPr>
        <w:t>L2 本構（前作/</w:t>
      </w:r>
      <w:r>
        <w:rPr>
          <w:rFonts w:ascii="Times New Roman" w:hAnsi="Times New Roman" w:eastAsia="標楷體"/>
          <w:b w:val="0"/>
          <w:color w:val="1F4EC8"/>
          <w:sz w:val="23"/>
        </w:rPr>
        <w:t>(Sulem et al., 1987)</w:t>
      </w:r>
      <w:r>
        <w:rPr>
          <w:rFonts w:ascii="Times New Roman" w:hAnsi="Times New Roman" w:eastAsia="標楷體"/>
          <w:b w:val="0"/>
          <w:sz w:val="23"/>
        </w:rPr>
        <w:t>）＋L3（Zheng/Bai/Yan）＋L6 標定（</w:t>
      </w:r>
      <w:r>
        <w:rPr>
          <w:rFonts w:ascii="Times New Roman" w:hAnsi="Times New Roman" w:eastAsia="標楷體"/>
          <w:b w:val="0"/>
          <w:color w:val="1F4EC8"/>
          <w:sz w:val="23"/>
        </w:rPr>
        <w:t>(Potyondy &amp; Cundall, 2004)</w:t>
      </w:r>
      <w:r>
        <w:rPr>
          <w:rFonts w:ascii="Times New Roman" w:hAnsi="Times New Roman" w:eastAsia="標楷體"/>
          <w:b w:val="0"/>
          <w:color w:val="1F4EC8"/>
          <w:sz w:val="23"/>
        </w:rPr>
        <w:t>(Cho et al., 2007)</w:t>
      </w:r>
      <w:r>
        <w:rPr>
          <w:rFonts w:ascii="Times New Roman" w:hAnsi="Times New Roman" w:eastAsia="標楷體"/>
          <w:b w:val="0"/>
          <w:color w:val="1F4EC8"/>
          <w:sz w:val="23"/>
        </w:rPr>
        <w:t>(Yoon, 2007)</w:t>
      </w:r>
      <w:r>
        <w:rPr>
          <w:rFonts w:ascii="Times New Roman" w:hAnsi="Times New Roman" w:eastAsia="標楷體"/>
          <w:b w:val="0"/>
          <w:color w:val="1F4EC8"/>
          <w:sz w:val="23"/>
        </w:rPr>
        <w:t>(Wu &amp; Xu, 2016)</w:t>
      </w:r>
      <w:r>
        <w:rPr>
          <w:rFonts w:ascii="Times New Roman" w:hAnsi="Times New Roman" w:eastAsia="標楷體"/>
          <w:b w:val="0"/>
          <w:color w:val="1F4EC8"/>
          <w:sz w:val="23"/>
        </w:rPr>
        <w:t>(Nitka &amp; Tejchman, 2018)</w:t>
      </w:r>
      <w:r>
        <w:rPr>
          <w:rFonts w:ascii="Times New Roman" w:hAnsi="Times New Roman" w:eastAsia="標楷體"/>
          <w:b w:val="0"/>
          <w:color w:val="1F4EC8"/>
          <w:sz w:val="23"/>
        </w:rPr>
        <w:t>(Tsang et al., 2023)</w:t>
      </w:r>
      <w:r>
        <w:rPr>
          <w:rFonts w:ascii="Times New Roman" w:hAnsi="Times New Roman" w:eastAsia="標楷體"/>
          <w:b w:val="0"/>
          <w:color w:val="1F4EC8"/>
          <w:sz w:val="23"/>
        </w:rPr>
        <w:t>(Cai et al., 2004)</w:t>
      </w:r>
      <w:r>
        <w:rPr>
          <w:rFonts w:ascii="Times New Roman" w:hAnsi="Times New Roman" w:eastAsia="標楷體"/>
          <w:b w:val="0"/>
          <w:sz w:val="23"/>
        </w:rPr>
        <w:t>）＋介面前例（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2020)</w:t>
      </w:r>
      <w:r>
        <w:rPr>
          <w:rFonts w:ascii="Times New Roman" w:hAnsi="Times New Roman" w:eastAsia="標楷體"/>
          <w:b w:val="0"/>
          <w:sz w:val="23"/>
        </w:rPr>
        <w:t>）＋混合法正當性（</w:t>
      </w:r>
      <w:r>
        <w:rPr>
          <w:rFonts w:ascii="Times New Roman" w:hAnsi="Times New Roman" w:eastAsia="標楷體"/>
          <w:b w:val="0"/>
          <w:color w:val="1F4EC8"/>
          <w:sz w:val="23"/>
        </w:rPr>
        <w:t>(Rasmussen &amp; Min, 2024)</w:t>
      </w:r>
      <w:r>
        <w:rPr>
          <w:rFonts w:ascii="Times New Roman" w:hAnsi="Times New Roman" w:eastAsia="標楷體"/>
          <w:b w:val="0"/>
          <w:color w:val="1F4EC8"/>
          <w:sz w:val="23"/>
        </w:rPr>
        <w:t>(Lisjak et al., 2015)</w:t>
      </w:r>
      <w:r>
        <w:rPr>
          <w:rFonts w:ascii="Times New Roman" w:hAnsi="Times New Roman" w:eastAsia="標楷體"/>
          <w:b w:val="0"/>
          <w:sz w:val="23"/>
        </w:rPr>
        <w:t>）＋假設護盾引文（</w:t>
      </w:r>
      <w:r>
        <w:rPr>
          <w:rFonts w:ascii="Times New Roman" w:hAnsi="Times New Roman" w:eastAsia="標楷體"/>
          <w:b w:val="0"/>
          <w:color w:val="1F4EC8"/>
          <w:sz w:val="23"/>
        </w:rPr>
        <w:t>(Wu et al., 2024)</w:t>
      </w:r>
      <w:r>
        <w:rPr>
          <w:rFonts w:ascii="Times New Roman" w:hAnsi="Times New Roman" w:eastAsia="標楷體"/>
          <w:b w:val="0"/>
          <w:color w:val="1F4EC8"/>
          <w:sz w:val="23"/>
        </w:rPr>
        <w:t>(Fahimifar &amp; Zareifard, 2009)</w:t>
      </w:r>
      <w:r>
        <w:rPr>
          <w:rFonts w:ascii="Times New Roman" w:hAnsi="Times New Roman" w:eastAsia="標楷體"/>
          <w:b w:val="0"/>
          <w:sz w:val="23"/>
        </w:rPr>
        <w:t>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【重點：L6 標定譜系已完整：原典→缺陷→修正→混凝土依據→自動化】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