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案例各節核心（證據三明治佈局）</w:t>
      </w:r>
    </w:p>
    <w:p>
      <w:r>
        <w:rPr>
          <w:rFonts w:ascii="Times New Roman" w:hAnsi="Times New Roman" w:eastAsia="標楷體"/>
          <w:b w:val="0"/>
          <w:sz w:val="23"/>
        </w:rPr>
        <w:t>3.1 核心：水文＝驅動源的證據鏈（實測擺幅→擬合→W 面家族情境）；⚖ 主報告水位/雨量時序仍缺。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【重點：水文證據鏈是 D2 防線的地基】</w:t>
      </w:r>
    </w:p>
    <w:p>
      <w:r>
        <w:rPr>
          <w:rFonts w:ascii="Times New Roman" w:hAnsi="Times New Roman" w:eastAsia="標楷體"/>
          <w:b w:val="0"/>
          <w:sz w:val="23"/>
        </w:rPr>
        <w:t xml:space="preserve">3.2 核心：病徵「分型＋時序」——曲線段 957–992 m 為主對象；學 </w:t>
      </w:r>
      <w:r>
        <w:rPr>
          <w:rFonts w:ascii="Times New Roman" w:hAnsi="Times New Roman" w:eastAsia="標楷體"/>
          <w:b w:val="0"/>
          <w:color w:val="1F4EC8"/>
          <w:sz w:val="23"/>
        </w:rPr>
        <w:t>(Tian et al., 2026)</w:t>
      </w:r>
      <w:r>
        <w:rPr>
          <w:rFonts w:ascii="Times New Roman" w:hAnsi="Times New Roman" w:eastAsia="標楷體"/>
          <w:b w:val="0"/>
          <w:sz w:val="23"/>
        </w:rPr>
        <w:t xml:space="preserve"> 證據三明治：本章擺實測病徵當問題證據，4.3 再回頭「與現地一致」閉環——單一資料集賣兩次（動機＋驗證）。震撼數字 hook 提煉 1 個（如裂縫成長率，</w:t>
      </w:r>
      <w:r>
        <w:rPr>
          <w:rFonts w:ascii="Times New Roman" w:hAnsi="Times New Roman" w:eastAsia="標楷體"/>
          <w:b w:val="0"/>
          <w:color w:val="1F4EC8"/>
          <w:sz w:val="23"/>
        </w:rPr>
        <w:t>(Chiu et al., 2017)</w:t>
      </w:r>
      <w:r>
        <w:rPr>
          <w:rFonts w:ascii="Times New Roman" w:hAnsi="Times New Roman" w:eastAsia="標楷體"/>
          <w:b w:val="0"/>
          <w:sz w:val="23"/>
        </w:rPr>
        <w:t xml:space="preserve"> 54–87 m/180 天式）。109 地震與水文分量並存＝4.3 對照的誠實伏筆。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【重點：分型+時序+一個震撼數字；伏筆先埋】</w:t>
      </w:r>
    </w:p>
    <w:p>
      <w:r>
        <w:rPr>
          <w:rFonts w:ascii="Times New Roman" w:hAnsi="Times New Roman" w:eastAsia="標楷體"/>
          <w:b w:val="0"/>
          <w:sz w:val="23"/>
        </w:rPr>
        <w:t>3.3 核心：每參數有孔號/試驗頁碼（202411 App11/13）；k×100 近壁帶（TT 建議已納）一句交代。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【重點：地質模型是參數出處】</w:t>
      </w:r>
    </w:p>
    <w:p>
      <w:r>
        <w:rPr>
          <w:rFonts w:ascii="Times New Roman" w:hAnsi="Times New Roman" w:eastAsia="標楷體"/>
          <w:b w:val="0"/>
          <w:sz w:val="23"/>
        </w:rPr>
        <w:t>【v3 三件案例章戰術】①**五段敘事鏈**（</w:t>
      </w:r>
      <w:r>
        <w:rPr>
          <w:rFonts w:ascii="Times New Roman" w:hAnsi="Times New Roman" w:eastAsia="標楷體"/>
          <w:b w:val="0"/>
          <w:color w:val="1F4EC8"/>
          <w:sz w:val="23"/>
        </w:rPr>
        <w:t>(Zhang et al., 2022)</w:t>
      </w:r>
      <w:r>
        <w:rPr>
          <w:rFonts w:ascii="Times New Roman" w:hAnsi="Times New Roman" w:eastAsia="標楷體"/>
          <w:b w:val="0"/>
          <w:sz w:val="23"/>
        </w:rPr>
        <w:t xml:space="preserve"> Liwaiao 全文模板）：普查母體統計（該文 11 隧道 634 裂縫）→代表案例→數值機制重現→模型-現場對照圖（其 Fig.21 為樞紐，同時完成驗證與缺陷免答）→治理對策；我們對應：林鐵隧道分級調查統計→#46 代表斷面→跨尺度模擬→同座標對照→維養建議。②**病徵量化到 mm**（</w:t>
      </w:r>
      <w:r>
        <w:rPr>
          <w:rFonts w:ascii="Times New Roman" w:hAnsi="Times New Roman" w:eastAsia="標楷體"/>
          <w:b w:val="0"/>
          <w:color w:val="1F4EC8"/>
          <w:sz w:val="23"/>
        </w:rPr>
        <w:t>(Tian et al., 2026)</w:t>
      </w:r>
      <w:r>
        <w:rPr>
          <w:rFonts w:ascii="Times New Roman" w:hAnsi="Times New Roman" w:eastAsia="標楷體"/>
          <w:b w:val="0"/>
          <w:sz w:val="23"/>
        </w:rPr>
        <w:t xml:space="preserve"> 證據三明治要求）：部位／寬度級距／年變率三欄全部給數字（如 &lt;3 mm、3–5 mm、&gt;5 mm 分級與 mm/yr 進展率），否則 4.3 無法做三項對點互證。③**單案例可信度引擎**（</w:t>
      </w:r>
      <w:r>
        <w:rPr>
          <w:rFonts w:ascii="Times New Roman" w:hAnsi="Times New Roman" w:eastAsia="標楷體"/>
          <w:b w:val="0"/>
          <w:color w:val="1F4EC8"/>
          <w:sz w:val="23"/>
        </w:rPr>
        <w:t>(Wang et al., 2021)</w:t>
      </w:r>
      <w:r>
        <w:rPr>
          <w:rFonts w:ascii="Times New Roman" w:hAnsi="Times New Roman" w:eastAsia="標楷體"/>
          <w:b w:val="0"/>
          <w:sz w:val="23"/>
        </w:rPr>
        <w:t xml:space="preserve"> 式）：把 #46 放進林鐵全線分級母體（395 邊坡段／A-B 級隧道清單）對照，使個案升級為地層類型代表。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【重點：普查母體×代表案例×mm 級量化＝單案例可信度三支柱】</w:t>
      </w:r>
    </w:p>
    <w:p>
      <w:r>
        <w:rPr>
          <w:rFonts w:ascii="Times New Roman" w:hAnsi="Times New Roman" w:eastAsia="標楷體"/>
          <w:b/>
          <w:sz w:val="26"/>
        </w:rPr>
        <w:t>★ 3.3 核心防禦：6 個鑽孔憑什麼建三維地質模型（Shi &amp; Wang 2022 全文所得）</w:t>
      </w:r>
    </w:p>
    <w:p>
      <w:r>
        <w:rPr>
          <w:rFonts w:ascii="Times New Roman" w:hAnsi="Times New Roman" w:eastAsia="標楷體"/>
          <w:b w:val="0"/>
          <w:color w:val="1F4EC8"/>
          <w:sz w:val="23"/>
        </w:rPr>
        <w:t>(Shi &amp; Wang, 2022)</w:t>
      </w:r>
      <w:r>
        <w:rPr>
          <w:rFonts w:ascii="Times New Roman" w:hAnsi="Times New Roman" w:eastAsia="標楷體"/>
          <w:b w:val="0"/>
          <w:sz w:val="23"/>
        </w:rPr>
        <w:t xml:space="preserve"> 處理的正是與我方相同的限制，且給出**可引用的量化門檻**：其 §6 明訂「對水平向離散為 100–150 格之二維剖面，**4 個鑽孔即足以獲得合理建模結果**，少於 4 孔性能可能折損」。其模型域 100×100×50 m、25 孔規則間距 20 m（孔位僅佔全體素 0.25%）。**我方反制寫法**：把問題重構為隧道縱向單一剖面——6 孔 &gt; 4 孔門檻（高出 50%），並建議縱向解析度取 3 m（340/3≈113 格），使我方完全落入其已驗證之 100–150 格區間，取得該文之完整引用效力；另可引 GEO (1987) 慣用勘查間距 10–30 m 為對比基準。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【重點：把「孔太少」重構為「已達已驗證門檻」＝最強的量化反制】</w:t>
      </w:r>
    </w:p>
    <w:p>
      <w:r>
        <w:rPr>
          <w:rFonts w:ascii="Times New Roman" w:hAnsi="Times New Roman" w:eastAsia="標楷體"/>
          <w:b w:val="0"/>
          <w:sz w:val="23"/>
        </w:rPr>
        <w:t>地質模型建置之方法語彙（</w:t>
      </w:r>
      <w:r>
        <w:rPr>
          <w:rFonts w:ascii="Times New Roman" w:hAnsi="Times New Roman" w:eastAsia="標楷體"/>
          <w:b w:val="0"/>
          <w:color w:val="1F4EC8"/>
          <w:sz w:val="23"/>
        </w:rPr>
        <w:t>(Pan et al., 2020)</w:t>
      </w:r>
      <w:r>
        <w:rPr>
          <w:rFonts w:ascii="Times New Roman" w:hAnsi="Times New Roman" w:eastAsia="標楷體"/>
          <w:b w:val="0"/>
          <w:sz w:val="23"/>
        </w:rPr>
        <w:t xml:space="preserve"> 全文所得）：其 Fig.5 三帶式流程樹可直接改寫為隧道版——資料採集帶（**地表地形／襯砌結構／地層與地下水**三分）→視覺化整合帶（資料整備、無縫整合、幾何→拓樸→屬性三元組）→匯流至單一節點「多尺度三維空間資料無縫整合」→應用帶（含三維數值模擬）。**該文 §4.1.7 自陳其分類方法可供後續有限元分析與地下水流模擬，且唯有結合專業模型方能發揮潛力**——我方引用姿態應為「回應其召喚」，把地質模型從附屬工作升格為 FDM-DEM 論證鏈之必要輸入。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【重點：引用姿態＝回應召喚，非競爭】</w:t>
      </w:r>
    </w:p>
    <w:p>
      <w:r>
        <w:rPr>
          <w:rFonts w:ascii="Times New Roman" w:hAnsi="Times New Roman" w:eastAsia="標楷體"/>
          <w:b w:val="0"/>
          <w:sz w:val="23"/>
        </w:rPr>
        <w:t>地層界面不確定性之誠實陳述（</w:t>
      </w:r>
      <w:r>
        <w:rPr>
          <w:rFonts w:ascii="Times New Roman" w:hAnsi="Times New Roman" w:eastAsia="標楷體"/>
          <w:b w:val="0"/>
          <w:color w:val="1F4EC8"/>
          <w:sz w:val="23"/>
        </w:rPr>
        <w:t>(Liu et al., 2020)</w:t>
      </w:r>
      <w:r>
        <w:rPr>
          <w:rFonts w:ascii="Times New Roman" w:hAnsi="Times New Roman" w:eastAsia="標楷體"/>
          <w:b w:val="0"/>
          <w:sz w:val="23"/>
        </w:rPr>
        <w:t xml:space="preserve"> 全文所得，可攜數字）：其純幾何效應顯示確定性水平界面較真實起伏界面**低估安全係數 6.8%** 且臨界滑動面由淺轉深；純佈孔效應在 4–9 孔間造成 6.5% 擺盪，且**同為 4 孔而孔位不同即差 4.6%**；界面垂直不確定性之影響遠大於水平向。我方採確定性單一實現時，應以此類數字寫成限制陳述（而非只說「有不確定性」），並可比照其兩層巢狀設計：**外層決定 zone 群組指派、內層決定 zone 參數數值**，以框圖顯示兩源已分離。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【重點：限制要帶數字；兩源分離用框圖一眼可證】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