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案例文獻掛載</w:t>
      </w:r>
    </w:p>
    <w:p>
      <w:r>
        <w:rPr>
          <w:rFonts w:ascii="Times New Roman" w:hAnsi="Times New Roman" w:eastAsia="標楷體"/>
          <w:b w:val="0"/>
          <w:sz w:val="23"/>
        </w:rPr>
        <w:t>202411 附錄（App5/6/7/11/13＋附圖93/95/96）＋L5 維養制度（</w:t>
      </w:r>
      <w:r>
        <w:rPr>
          <w:rFonts w:ascii="Times New Roman" w:hAnsi="Times New Roman" w:eastAsia="標楷體"/>
          <w:b w:val="0"/>
          <w:color w:val="1F4EC8"/>
          <w:sz w:val="23"/>
        </w:rPr>
        <w:t>(Moradi et al., 2021)</w:t>
      </w:r>
      <w:r>
        <w:rPr>
          <w:rFonts w:ascii="Times New Roman" w:hAnsi="Times New Roman" w:eastAsia="標楷體"/>
          <w:b w:val="0"/>
          <w:sz w:val="23"/>
        </w:rPr>
        <w:t>）＋分級方法一句。案例資料引用格式⚖：技術報告引用式待定（顧問報告非公開文獻，可用 unpublished technical report 式或致謝處理——問 TT 慣例）。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