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 w:eastAsia="標楷體"/>
          <w:b/>
          <w:sz w:val="30"/>
        </w:rPr>
        <w:t>案例表規劃</w:t>
      </w:r>
    </w:p>
    <w:p>
      <w:r>
        <w:rPr>
          <w:rFonts w:ascii="Times New Roman" w:hAnsi="Times New Roman" w:eastAsia="標楷體"/>
          <w:b w:val="0"/>
          <w:color w:val="008040"/>
          <w:sz w:val="23"/>
        </w:rPr>
        <w:t>表4</w:t>
      </w:r>
      <w:r>
        <w:rPr>
          <w:rFonts w:ascii="Times New Roman" w:hAnsi="Times New Roman" w:eastAsia="標楷體"/>
          <w:b w:val="0"/>
          <w:sz w:val="23"/>
        </w:rPr>
        <w:t xml:space="preserve"> 現地調查監測資料彙整（LiDAR 兩期/裂縫計/6 孔鑽探/室內試驗）＝案例可信度＝賣點 1 的證據表。</w:t>
      </w:r>
      <w:r>
        <w:rPr>
          <w:rFonts w:ascii="Times New Roman" w:hAnsi="Times New Roman" w:eastAsia="標楷體"/>
          <w:b w:val="0"/>
          <w:sz w:val="23"/>
        </w:rPr>
        <w:t xml:space="preserve">　</w:t>
      </w:r>
      <w:r>
        <w:rPr>
          <w:rFonts w:ascii="Times New Roman" w:hAnsi="Times New Roman" w:eastAsia="標楷體"/>
          <w:b w:val="0"/>
          <w:color w:val="000000"/>
          <w:sz w:val="21"/>
          <w:highlight w:val="yellow"/>
        </w:rPr>
        <w:t>【重點：稀缺性反轉的數據支撐】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標楷體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