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前言表規劃</w:t>
      </w:r>
    </w:p>
    <w:p>
      <w:r>
        <w:rPr>
          <w:rFonts w:ascii="Times New Roman" w:hAnsi="Times New Roman" w:eastAsia="標楷體"/>
          <w:b w:val="0"/>
          <w:color w:val="008040"/>
          <w:sz w:val="23"/>
        </w:rPr>
        <w:t>表1</w:t>
      </w:r>
      <w:r>
        <w:rPr>
          <w:rFonts w:ascii="Times New Roman" w:hAnsi="Times New Roman" w:eastAsia="標楷體"/>
          <w:b w:val="0"/>
          <w:sz w:val="23"/>
        </w:rPr>
        <w:t xml:space="preserve"> 文獻案例彙編：8 欄中性矩陣（Author/Case/Lithology/Model/Method/Focus/Issue/Highlight）約 10–12 列，置於 P2/P3 間；不含 this study 行（前作教訓）；最後一欄可仿 </w:t>
      </w:r>
      <w:r>
        <w:rPr>
          <w:rFonts w:ascii="Times New Roman" w:hAnsi="Times New Roman" w:eastAsia="標楷體"/>
          <w:b w:val="0"/>
          <w:color w:val="1F4EC8"/>
          <w:sz w:val="23"/>
        </w:rPr>
        <w:t>(Paraskevopoulou &amp; Diederichs, 2018)</w:t>
      </w:r>
      <w:r>
        <w:rPr>
          <w:rFonts w:ascii="Times New Roman" w:hAnsi="Times New Roman" w:eastAsia="標楷體"/>
          <w:b w:val="0"/>
          <w:sz w:val="23"/>
        </w:rPr>
        <w:t xml:space="preserve"> 讓表兼當缺口證據（皆未考慮水位循環）。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【重點：表格代勞文獻回顧＋兼當缺口證據】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