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前言文獻編隊（掛載對照）</w:t>
      </w:r>
    </w:p>
    <w:p>
      <w:r>
        <w:rPr>
          <w:rFonts w:ascii="Times New Roman" w:hAnsi="Times New Roman" w:eastAsia="標楷體"/>
          <w:b w:val="0"/>
          <w:sz w:val="23"/>
        </w:rPr>
        <w:t>P1←L5（</w:t>
      </w:r>
      <w:r>
        <w:rPr>
          <w:rFonts w:ascii="Times New Roman" w:hAnsi="Times New Roman" w:eastAsia="標楷體"/>
          <w:b w:val="0"/>
          <w:color w:val="1F4EC8"/>
          <w:sz w:val="23"/>
        </w:rPr>
        <w:t>(Moradi et al., 2021)</w:t>
      </w:r>
      <w:r>
        <w:rPr>
          <w:rFonts w:ascii="Times New Roman" w:hAnsi="Times New Roman" w:eastAsia="標楷體"/>
          <w:b w:val="0"/>
          <w:color w:val="1F4EC8"/>
          <w:sz w:val="23"/>
        </w:rPr>
        <w:t>(Ou et al., 2025)</w:t>
      </w:r>
      <w:r>
        <w:rPr>
          <w:rFonts w:ascii="Times New Roman" w:hAnsi="Times New Roman" w:eastAsia="標楷體"/>
          <w:b w:val="0"/>
          <w:sz w:val="23"/>
        </w:rPr>
        <w:t>）＋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2024)</w:t>
      </w:r>
      <w:r>
        <w:rPr>
          <w:rFonts w:ascii="Times New Roman" w:hAnsi="Times New Roman" w:eastAsia="標楷體"/>
          <w:b w:val="0"/>
          <w:sz w:val="23"/>
        </w:rPr>
        <w:t>；P2←支線 A 隊列（Chiu/WangTT/Chen/Sulei/LiuD/Ou）；P3←支線 B 隊列（Fahimifar/Sun/Li/Tarifard/Wang2023/Yin/Yu）；P4←L3 系譜隊列（Lisjak/Vazaios/Yan/Zhou/Bai/Rasmussen/Wang2020/Potyondy2015）；P5←無新引。TUST 引文比已 55%，注意補 1–2 篇經典錨（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sz w:val="23"/>
        </w:rPr>
        <w:t xml:space="preserve"> 級）做引文雙錨。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【重點：每段的彈藥庫已配置完畢】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