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方法文獻掛載</w:t>
      </w:r>
    </w:p>
    <w:p>
      <w:r>
        <w:rPr>
          <w:rFonts w:ascii="Times New Roman" w:hAnsi="Times New Roman" w:eastAsia="標楷體"/>
          <w:b w:val="0"/>
          <w:sz w:val="23"/>
        </w:rPr>
        <w:t>L2 本構（前作/</w:t>
      </w:r>
      <w:r>
        <w:rPr>
          <w:rFonts w:ascii="Times New Roman" w:hAnsi="Times New Roman" w:eastAsia="標楷體"/>
          <w:b w:val="0"/>
          <w:color w:val="1F4EC8"/>
          <w:sz w:val="23"/>
        </w:rPr>
        <w:t>(Sulem et al., 1987)</w:t>
      </w:r>
      <w:r>
        <w:rPr>
          <w:rFonts w:ascii="Times New Roman" w:hAnsi="Times New Roman" w:eastAsia="標楷體"/>
          <w:b w:val="0"/>
          <w:sz w:val="23"/>
        </w:rPr>
        <w:t>）＋L3（Zheng/Bai/Yan）＋L6 標定（Potyondy/Cho/Yoon/Tsang/Nitka/Peng/Cai）＋假設護盾引文（Wu/Fahimifar）。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