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方法各節核心（防禦式寫法）</w:t>
      </w:r>
    </w:p>
    <w:p>
      <w:r>
        <w:rPr>
          <w:rFonts w:ascii="Times New Roman" w:hAnsi="Times New Roman" w:eastAsia="標楷體"/>
          <w:b w:val="0"/>
          <w:sz w:val="23"/>
        </w:rPr>
        <w:t>2.1 開頭即設【建模假設清單】：編號條列（趨勢級 f=0.25、水位面家族情境、K0、邊界處理），每條掛 1–4 篇前例文獻當護盾（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General consideration 式；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編號 bullet 式）——先講清楚，之後全文不再道歉。傳遞一致性（Kabsch＋應變檢核&lt;1e-9）寫成可信度主張。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【重點：假設=設定不是懺悔；一次講完不回頭】</w:t>
      </w:r>
    </w:p>
    <w:p>
      <w:r>
        <w:rPr>
          <w:rFonts w:ascii="Times New Roman" w:hAnsi="Times New Roman" w:eastAsia="標楷體"/>
          <w:b w:val="0"/>
          <w:sz w:val="23"/>
        </w:rPr>
        <w:t>2.2 核心：T 不是自由參數——乾季近零活化＝定準錨點（掃描法）；與前作 λ 的關係一句交代（尺度與圍壓域不同）。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【重點：門檻定準法=回應口委的正面設計】</w:t>
      </w:r>
    </w:p>
    <w:p>
      <w:r>
        <w:rPr>
          <w:rFonts w:ascii="Times New Roman" w:hAnsi="Times New Roman" w:eastAsia="標楷體"/>
          <w:b w:val="0"/>
          <w:sz w:val="23"/>
        </w:rPr>
        <w:t>2.3 核心：鍵結斷裂＝微損傷、三軌法聚合成工程裂縫（</w:t>
      </w:r>
      <w:r>
        <w:rPr>
          <w:rFonts w:ascii="Times New Roman" w:hAnsi="Times New Roman" w:eastAsia="標楷體"/>
          <w:b w:val="0"/>
          <w:color w:val="1F4EC8"/>
          <w:sz w:val="23"/>
        </w:rPr>
        <w:t>(Zheng et al., 2024)</w:t>
      </w:r>
      <w:r>
        <w:rPr>
          <w:rFonts w:ascii="Times New Roman" w:hAnsi="Times New Roman" w:eastAsia="標楷體"/>
          <w:b w:val="0"/>
          <w:sz w:val="23"/>
        </w:rPr>
        <w:t xml:space="preserve"> 同型定義）；分母凍結（registry 2.08M）使 D 可跨情境比較；QA（CONTROL-0 基線、gates）一段寫成方法特色。標定敘事引 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color w:val="1F4EC8"/>
          <w:sz w:val="23"/>
        </w:rPr>
        <w:t>(Tsang et al., 2023)</w:t>
      </w:r>
      <w:r>
        <w:rPr>
          <w:rFonts w:ascii="Times New Roman" w:hAnsi="Times New Roman" w:eastAsia="標楷體"/>
          <w:b w:val="0"/>
          <w:sz w:val="23"/>
        </w:rPr>
        <w:t>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【重點：QA 入正文=審稿人最買單的可信度證據】</w:t>
      </w:r>
    </w:p>
    <w:p>
      <w:r>
        <w:rPr>
          <w:rFonts w:ascii="Times New Roman" w:hAnsi="Times New Roman" w:eastAsia="標楷體"/>
          <w:b w:val="0"/>
          <w:sz w:val="23"/>
        </w:rPr>
        <w:t>【v3 三件方法章戰術】①**驗證階梯**（</w:t>
      </w:r>
      <w:r>
        <w:rPr>
          <w:rFonts w:ascii="Times New Roman" w:hAnsi="Times New Roman" w:eastAsia="標楷體"/>
          <w:b w:val="0"/>
          <w:color w:val="1F4EC8"/>
          <w:sz w:val="23"/>
        </w:rPr>
        <w:t>(Liu &amp; Sun, 2019)</w:t>
      </w:r>
      <w:r>
        <w:rPr>
          <w:rFonts w:ascii="Times New Roman" w:hAnsi="Times New Roman" w:eastAsia="標楷體"/>
          <w:b w:val="0"/>
          <w:sz w:val="23"/>
        </w:rPr>
        <w:t xml:space="preserve"> 三級／</w:t>
      </w:r>
      <w:r>
        <w:rPr>
          <w:rFonts w:ascii="Times New Roman" w:hAnsi="Times New Roman" w:eastAsia="標楷體"/>
          <w:b w:val="0"/>
          <w:color w:val="1F4EC8"/>
          <w:sz w:val="23"/>
        </w:rPr>
        <w:t>(Vazaios et al., 2019)</w:t>
      </w:r>
      <w:r>
        <w:rPr>
          <w:rFonts w:ascii="Times New Roman" w:hAnsi="Times New Roman" w:eastAsia="標楷體"/>
          <w:b w:val="0"/>
          <w:sz w:val="23"/>
        </w:rPr>
        <w:t xml:space="preserve"> 三級跳）：由簡至繁——解析解 benchmark（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量級對照）→單元/構件級對照→現地監測比對，每級收一個量化誤差並以一句 verdict 收尾；第三級最值錢（讓模擬回答巡檢報告只能推測的裂縫—水位關聯）。②**粒徑反轉**（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sz w:val="23"/>
        </w:rPr>
        <w:t xml:space="preserve"> 原典戰法）：DEM 最常被打的「粒徑怎麼選」反轉為物理內涵——兩尺度敏感度掃描→韌度與強度連動→據此選粒徑，並主動寫進摘要。③**零調參可信度**（</w:t>
      </w:r>
      <w:r>
        <w:rPr>
          <w:rFonts w:ascii="Times New Roman" w:hAnsi="Times New Roman" w:eastAsia="標楷體"/>
          <w:b w:val="0"/>
          <w:color w:val="1F4EC8"/>
          <w:sz w:val="23"/>
        </w:rPr>
        <w:t>(Lisjak et al., 2015)</w:t>
      </w:r>
      <w:r>
        <w:rPr>
          <w:rFonts w:ascii="Times New Roman" w:hAnsi="Times New Roman" w:eastAsia="標楷體"/>
          <w:b w:val="0"/>
          <w:sz w:val="23"/>
        </w:rPr>
        <w:t>）：接觸參數在實驗室/他案率定後**凍結不動**，</w:t>
      </w:r>
      <w:r>
        <w:rPr>
          <w:rFonts w:ascii="Times New Roman" w:hAnsi="Times New Roman" w:eastAsia="標楷體"/>
          <w:b w:val="0"/>
          <w:color w:val="008040"/>
          <w:sz w:val="23"/>
        </w:rPr>
        <w:t>表2</w:t>
      </w:r>
      <w:r>
        <w:rPr>
          <w:rFonts w:ascii="Times New Roman" w:hAnsi="Times New Roman" w:eastAsia="標楷體"/>
          <w:b w:val="0"/>
          <w:color w:val="008040"/>
          <w:sz w:val="23"/>
        </w:rPr>
        <w:t>表3</w:t>
      </w:r>
      <w:r>
        <w:rPr>
          <w:rFonts w:ascii="Times New Roman" w:hAnsi="Times New Roman" w:eastAsia="標楷體"/>
          <w:b w:val="0"/>
          <w:sz w:val="23"/>
        </w:rPr>
        <w:t xml:space="preserve"> 逐列註腳標出處——宣示預測性而非擬合性。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【重點：驗證階梯+粒徑反轉+參數凍結=方法章三道護城河】</w:t>
      </w:r>
    </w:p>
    <w:p>
      <w:r>
        <w:rPr>
          <w:rFonts w:ascii="Times New Roman" w:hAnsi="Times New Roman" w:eastAsia="標楷體"/>
          <w:b w:val="0"/>
          <w:sz w:val="23"/>
        </w:rPr>
        <w:t>【v4 混合法正當性的正確寫法，</w:t>
      </w:r>
      <w:r>
        <w:rPr>
          <w:rFonts w:ascii="Times New Roman" w:hAnsi="Times New Roman" w:eastAsia="標楷體"/>
          <w:b w:val="0"/>
          <w:color w:val="1F4EC8"/>
          <w:sz w:val="23"/>
        </w:rPr>
        <w:t>(Rasmussen &amp; Min, 2024)</w:t>
      </w:r>
      <w:r>
        <w:rPr>
          <w:rFonts w:ascii="Times New Roman" w:hAnsi="Times New Roman" w:eastAsia="標楷體"/>
          <w:b w:val="0"/>
          <w:sz w:val="23"/>
        </w:rPr>
        <w:t xml:space="preserve"> 全文校正】其論證**不是**「省算力／解析度只給熱區」，而是「兩個 however 縫成一個 gap」三段式：連續體應用直接了當、**然而**剝落等非連續本質被不當表現；離散體天生能表現、**然而**校正耗時且參數組非唯一而難以標準化；Therefore 結合兩者之優點的方法對該現象是有益的。我方 FDM(圍岩)–DEM(襯砌) 分工須逐句對位改寫——理由必須是「兩邊各有一件對方做不到的事」，**省算力只能當結果、不能當理由**。（其空間分區僅陳述不辯護：細網格限半徑3–3.8 m 內，中心到邊界尺度比 23–44 倍。）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【重點：混合法的理由＝能力互補，不是省算力】</w:t>
      </w:r>
    </w:p>
    <w:p>
      <w:r>
        <w:rPr>
          <w:rFonts w:ascii="Times New Roman" w:hAnsi="Times New Roman" w:eastAsia="標楷體"/>
          <w:b w:val="0"/>
          <w:sz w:val="23"/>
        </w:rPr>
        <w:t>【v4 介面交握段的直接前例，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2020)</w:t>
      </w:r>
      <w:r>
        <w:rPr>
          <w:rFonts w:ascii="Times New Roman" w:hAnsi="Times New Roman" w:eastAsia="標楷體"/>
          <w:b w:val="0"/>
          <w:sz w:val="23"/>
        </w:rPr>
        <w:t xml:space="preserve"> 全文】其專設 §2.2 小節＋專屬示意圖交代：PFC 內生成與 FLAC zone face 幾何重合之 particle wall（wall slaved 於 zone face）；連續體→DEM 傳位置與速度、DEM→連續體傳顆粒–facet 接觸力與力矩；分配律為重心內插、以接觸點在 facet 上之最近點為局部原點，**同時滿足三向力平衡與三軸力矩平衡**（確保接觸偏心不在連續域產生虛假淨力矩）。遠場地應力只施加於連續體外域、DEM 內域僅透過介面感受外域運動——此即「以耦合降低邊界效應」的實作核心。我方應同樣專設一小節＋一張介面示意圖。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【重點：介面段=專節+專圖+力與力矩雙平衡宣告】</w:t>
      </w:r>
    </w:p>
    <w:p>
      <w:r>
        <w:rPr>
          <w:rFonts w:ascii="Times New Roman" w:hAnsi="Times New Roman" w:eastAsia="標楷體"/>
          <w:b w:val="0"/>
          <w:sz w:val="23"/>
        </w:rPr>
        <w:t>【v4 BPM 標定的兩發審稿彈藥】①**拉壓比問題必須正面處理**（</w:t>
      </w:r>
      <w:r>
        <w:rPr>
          <w:rFonts w:ascii="Times New Roman" w:hAnsi="Times New Roman" w:eastAsia="標楷體"/>
          <w:b w:val="0"/>
          <w:color w:val="1F4EC8"/>
          <w:sz w:val="23"/>
        </w:rPr>
        <w:t>(Cho et al., 2007)</w:t>
      </w:r>
      <w:r>
        <w:rPr>
          <w:rFonts w:ascii="Times New Roman" w:hAnsi="Times New Roman" w:eastAsia="標楷體"/>
          <w:b w:val="0"/>
          <w:sz w:val="23"/>
        </w:rPr>
        <w:t xml:space="preserve"> 全文數據）：原始圓顆粒 BPM 之 σt/σci≈0.25（UCS/BTS≈4），而真實岩石為 0.04–0.03（UCS/BTS≈24–30），且破壞包絡線為線性、無張力截斷——「BPM 憑什麼代表混凝土襯砌」必以此數字為起點作答（我方 D7 標定之 fc/ft=41.2/4.12=10，須說明落在何處、為何可接受）。②**標定目標反應要選對**（</w:t>
      </w:r>
      <w:r>
        <w:rPr>
          <w:rFonts w:ascii="Times New Roman" w:hAnsi="Times New Roman" w:eastAsia="標楷體"/>
          <w:b w:val="0"/>
          <w:color w:val="1F4EC8"/>
          <w:sz w:val="23"/>
        </w:rPr>
        <w:t>(Yoon, 2007)</w:t>
      </w:r>
      <w:r>
        <w:rPr>
          <w:rFonts w:ascii="Times New Roman" w:hAnsi="Times New Roman" w:eastAsia="標楷體"/>
          <w:b w:val="0"/>
          <w:sz w:val="23"/>
        </w:rPr>
        <w:t xml:space="preserve"> 敏感度排序）：彈性與強度幾近正交（E 由 BCM 佔 52%、ν 由 KNKS 佔 78%、強度由 NBS+SBS 佔 61%）故可解耦為「先彈性後強度」；**關鍵：ROSD 對 UCS 僅 1.5% 影響卻主宰裂縫起始應力 σ_ci 達 37.8%**——我們研究的是襯砌「裂縫起始」而非崩塌，標定目標反應必須含 σ_ci，只用 UCS 校不出來。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【重點：拉壓比正面作答＋標定以 σ_ci 為目標＝BPM 章的兩道生死線】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