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案例圖規劃</w:t>
      </w:r>
    </w:p>
    <w:p>
      <w:r>
        <w:rPr>
          <w:rFonts w:ascii="Times New Roman" w:hAnsi="Times New Roman" w:eastAsia="標楷體"/>
          <w:b w:val="0"/>
          <w:color w:val="C00000"/>
          <w:sz w:val="23"/>
        </w:rPr>
        <w:t>圖1</w:t>
      </w:r>
      <w:r>
        <w:rPr>
          <w:rFonts w:ascii="Times New Roman" w:hAnsi="Times New Roman" w:eastAsia="標楷體"/>
          <w:b w:val="0"/>
          <w:sz w:val="23"/>
        </w:rPr>
        <w:t xml:space="preserve"> 場址綜覽（新繪）；</w:t>
      </w:r>
      <w:r>
        <w:rPr>
          <w:rFonts w:ascii="Times New Roman" w:hAnsi="Times New Roman" w:eastAsia="標楷體"/>
          <w:b w:val="0"/>
          <w:color w:val="C00000"/>
          <w:sz w:val="23"/>
        </w:rPr>
        <w:t>圖2</w:t>
      </w:r>
      <w:r>
        <w:rPr>
          <w:rFonts w:ascii="Times New Roman" w:hAnsi="Times New Roman" w:eastAsia="標楷體"/>
          <w:b w:val="0"/>
          <w:sz w:val="23"/>
        </w:rPr>
        <w:t xml:space="preserve"> 病徵時序（三期展開圖＋照片＋裂縫計；可含 P1 破壞照片面板）；</w:t>
      </w:r>
      <w:r>
        <w:rPr>
          <w:rFonts w:ascii="Times New Roman" w:hAnsi="Times New Roman" w:eastAsia="標楷體"/>
          <w:b w:val="0"/>
          <w:color w:val="C00000"/>
          <w:sz w:val="23"/>
        </w:rPr>
        <w:t>圖3</w:t>
      </w:r>
      <w:r>
        <w:rPr>
          <w:rFonts w:ascii="Times New Roman" w:hAnsi="Times New Roman" w:eastAsia="標楷體"/>
          <w:b w:val="0"/>
          <w:sz w:val="23"/>
        </w:rPr>
        <w:t xml:space="preserve"> 水文驅動。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【重點：圖2 與圖11 同座標=全文最強設計】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