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結果各節核心</w:t>
      </w:r>
    </w:p>
    <w:p>
      <w:r>
        <w:rPr>
          <w:rFonts w:ascii="Times New Roman" w:hAnsi="Times New Roman" w:eastAsia="標楷體"/>
          <w:b w:val="0"/>
          <w:sz w:val="23"/>
        </w:rPr>
        <w:t>4.1 核心：三尺度互證＝滯動不是單一模型巧合；Δpp=0.98 MPa=ρg·100m 檢核先立可信度。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【重點：先檢核後敘事】</w:t>
      </w:r>
    </w:p>
    <w:p>
      <w:r>
        <w:rPr>
          <w:rFonts w:ascii="Times New Roman" w:hAnsi="Times New Roman" w:eastAsia="標楷體"/>
          <w:b w:val="0"/>
          <w:sz w:val="23"/>
        </w:rPr>
        <w:t>4.2 核心：損傷有節律（A_wet=7.0/A_frz=0.0046/濕窗 91%）、有空間（右肩–右腰帶）、有型態（環向主導 199/19/3 m）——三個「有」各配一張圖。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【重點：節律/空間/型態三位一體】</w:t>
      </w:r>
    </w:p>
    <w:p>
      <w:r>
        <w:rPr>
          <w:rFonts w:ascii="Times New Roman" w:hAnsi="Times New Roman" w:eastAsia="標楷體"/>
          <w:b w:val="0"/>
          <w:sz w:val="23"/>
        </w:rPr>
        <w:t>4.3 核心（A9 誠實限定框）：對照層級＝高損傷帶落點與分區、非逐條裂縫；現地含地震/施工縫分量（109 地震在案）、模擬為水文驅動分量——歸因外部化（</w:t>
      </w:r>
      <w:r>
        <w:rPr>
          <w:rFonts w:ascii="Times New Roman" w:hAnsi="Times New Roman" w:eastAsia="標楷體"/>
          <w:b w:val="0"/>
          <w:color w:val="1F4EC8"/>
          <w:sz w:val="23"/>
        </w:rPr>
        <w:t>(Yin et al., 2022)</w:t>
      </w:r>
      <w:r>
        <w:rPr>
          <w:rFonts w:ascii="Times New Roman" w:hAnsi="Times New Roman" w:eastAsia="標楷體"/>
          <w:b w:val="0"/>
          <w:sz w:val="23"/>
        </w:rPr>
        <w:t xml:space="preserve"> 量測時機歸因同式）；</w:t>
      </w:r>
      <w:r>
        <w:rPr>
          <w:rFonts w:ascii="Times New Roman" w:hAnsi="Times New Roman" w:eastAsia="標楷體"/>
          <w:b w:val="0"/>
          <w:color w:val="C00000"/>
          <w:sz w:val="23"/>
        </w:rPr>
        <w:t>圖2</w:t>
      </w:r>
      <w:r>
        <w:rPr>
          <w:rFonts w:ascii="Times New Roman" w:hAnsi="Times New Roman" w:eastAsia="標楷體"/>
          <w:b w:val="0"/>
          <w:color w:val="C00000"/>
          <w:sz w:val="23"/>
        </w:rPr>
        <w:t>圖11</w:t>
      </w:r>
      <w:r>
        <w:rPr>
          <w:rFonts w:ascii="Times New Roman" w:hAnsi="Times New Roman" w:eastAsia="標楷體"/>
          <w:b w:val="0"/>
          <w:sz w:val="23"/>
        </w:rPr>
        <w:t xml:space="preserve"> 同座標讓讀者自檢。若 W1 統計出爐，補一個銳利數字命中（</w:t>
      </w:r>
      <w:r>
        <w:rPr>
          <w:rFonts w:ascii="Times New Roman" w:hAnsi="Times New Roman" w:eastAsia="標楷體"/>
          <w:b w:val="0"/>
          <w:color w:val="1F4EC8"/>
          <w:sz w:val="23"/>
        </w:rPr>
        <w:t>(Wu et al., 2024)</w:t>
      </w:r>
      <w:r>
        <w:rPr>
          <w:rFonts w:ascii="Times New Roman" w:hAnsi="Times New Roman" w:eastAsia="標楷體"/>
          <w:b w:val="0"/>
          <w:sz w:val="23"/>
        </w:rPr>
        <w:t xml:space="preserve"> 事件級命中戰法：一個 0.282 vs 0.283 勝過十條大致吻合）。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【重點：誠實+限定+一個銳利命中數字】</w:t>
      </w:r>
    </w:p>
    <w:p>
      <w:r>
        <w:rPr>
          <w:rFonts w:ascii="Times New Roman" w:hAnsi="Times New Roman" w:eastAsia="標楷體"/>
          <w:b w:val="0"/>
          <w:sz w:val="23"/>
        </w:rPr>
        <w:t xml:space="preserve">【v3 核心升級：4.3 沿用 </w:t>
      </w:r>
      <w:r>
        <w:rPr>
          <w:rFonts w:ascii="Times New Roman" w:hAnsi="Times New Roman" w:eastAsia="標楷體"/>
          <w:b w:val="0"/>
          <w:color w:val="1F4EC8"/>
          <w:sz w:val="23"/>
        </w:rPr>
        <w:t>(Wang, 2010)</w:t>
      </w:r>
      <w:r>
        <w:rPr>
          <w:rFonts w:ascii="Times New Roman" w:hAnsi="Times New Roman" w:eastAsia="標楷體"/>
          <w:b w:val="0"/>
          <w:sz w:val="23"/>
        </w:rPr>
        <w:t xml:space="preserve"> 型態語彙，做正演—反演閉環】該分類體系在數學上僅依賴**圍岩位移場的幾何與極性**（空間分佈 ⊥/∥/∠ × 紋理依位移指向極性 × 外觀三階序），作者本人將驅動定義為「施加於隧道的中尺度邊界條件變化」而未綁死坡體——故我們只需把驅動由坡移單向剪切**置換為水位循環往復有效應力**，即可原封繼承整套語彙與展開圖標記慣例。4.3 因此可寫成：以同一分類體系，將原本只能定性反演的型態—成因關係，升級為 FDM（圍岩位移場）→DEM（鍵結斷裂→型態）的可量化正演驗證。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【重點：語彙全盤沿用、驅動單點置換＝最乾淨的系譜切口】</w:t>
      </w:r>
    </w:p>
    <w:p>
      <w:r>
        <w:rPr>
          <w:rFonts w:ascii="Times New Roman" w:hAnsi="Times New Roman" w:eastAsia="標楷體"/>
          <w:b w:val="0"/>
          <w:sz w:val="23"/>
        </w:rPr>
        <w:t>【v3 兩件量化戰術】①**差值歸因術**（</w:t>
      </w:r>
      <w:r>
        <w:rPr>
          <w:rFonts w:ascii="Times New Roman" w:hAnsi="Times New Roman" w:eastAsia="標楷體"/>
          <w:b w:val="0"/>
          <w:color w:val="1F4EC8"/>
          <w:sz w:val="23"/>
        </w:rPr>
        <w:t>(Tian et al., 2021)</w:t>
      </w:r>
      <w:r>
        <w:rPr>
          <w:rFonts w:ascii="Times New Roman" w:hAnsi="Times New Roman" w:eastAsia="標楷體"/>
          <w:b w:val="0"/>
          <w:sz w:val="23"/>
        </w:rPr>
        <w:t xml:space="preserve"> 式）：把「實測−模擬」的殘差反轉為未建模因素的定量貢獻（該文以 ≈12 mm 差值反推降雨入滲貢獻並寫成結論一條）——我們可用「含/不含水位循環之模擬差 vs 裂縫監測增量」同款論證。②**基準錨定＋百分比武器化**（</w:t>
      </w:r>
      <w:r>
        <w:rPr>
          <w:rFonts w:ascii="Times New Roman" w:hAnsi="Times New Roman" w:eastAsia="標楷體"/>
          <w:b w:val="0"/>
          <w:color w:val="1F4EC8"/>
          <w:sz w:val="23"/>
        </w:rPr>
        <w:t>(Tan et al., 2018)</w:t>
      </w:r>
      <w:r>
        <w:rPr>
          <w:rFonts w:ascii="Times New Roman" w:hAnsi="Times New Roman" w:eastAsia="標楷體"/>
          <w:b w:val="0"/>
          <w:sz w:val="23"/>
        </w:rPr>
        <w:t xml:space="preserve"> 式）：以靜水位/單調情境為基準標在每張圖上，所有結果表述為相對基準的偏差，產出「靜態假設低估 X%」型可攜數字。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【重點：殘差變證據；百分比變武器】</w:t>
      </w:r>
    </w:p>
    <w:p>
      <w:r>
        <w:rPr>
          <w:rFonts w:ascii="Times New Roman" w:hAnsi="Times New Roman" w:eastAsia="標楷體"/>
          <w:b w:val="0"/>
          <w:sz w:val="23"/>
        </w:rPr>
        <w:t>【v4 裂縫量化四層體系，</w:t>
      </w:r>
      <w:r>
        <w:rPr>
          <w:rFonts w:ascii="Times New Roman" w:hAnsi="Times New Roman" w:eastAsia="標楷體"/>
          <w:b w:val="0"/>
          <w:color w:val="1F4EC8"/>
          <w:sz w:val="23"/>
        </w:rPr>
        <w:t>(Wang et al., 2026)</w:t>
      </w:r>
      <w:r>
        <w:rPr>
          <w:rFonts w:ascii="Times New Roman" w:hAnsi="Times New Roman" w:eastAsia="標楷體"/>
          <w:b w:val="0"/>
          <w:sz w:val="23"/>
        </w:rPr>
        <w:t xml:space="preserve"> FDEM 襯砌全文】其核心量僅兩個且每組必畫：**最大裂縫寬 w_max 時程曲線**（隨載重循環張開/閉合）與原創指標**等效裂縫孔隙率φe＝累積裂縫體積/襯砌環總體積**；條數只用於驗證段（報破斷元素佔比 1.2%/3.5%）、工程尺度改報密度與間距；長度完全不量，改以「貫穿/非貫穿」與「連通性」二分定性。我方 </w:t>
      </w:r>
      <w:r>
        <w:rPr>
          <w:rFonts w:ascii="Times New Roman" w:hAnsi="Times New Roman" w:eastAsia="標楷體"/>
          <w:b w:val="0"/>
          <w:color w:val="C00000"/>
          <w:sz w:val="23"/>
        </w:rPr>
        <w:t>圖9</w:t>
      </w:r>
      <w:r>
        <w:rPr>
          <w:rFonts w:ascii="Times New Roman" w:hAnsi="Times New Roman" w:eastAsia="標楷體"/>
          <w:b w:val="0"/>
          <w:color w:val="C00000"/>
          <w:sz w:val="23"/>
        </w:rPr>
        <w:t>圖11</w:t>
      </w:r>
      <w:r>
        <w:rPr>
          <w:rFonts w:ascii="Times New Roman" w:hAnsi="Times New Roman" w:eastAsia="標楷體"/>
          <w:b w:val="0"/>
          <w:sz w:val="23"/>
        </w:rPr>
        <w:t xml:space="preserve"> 可照此升級：損傷密度改配一條 w_max 級的代表量、並把 φe 以立方定律換算導水係數，補上該文未做的**滲流閉環**（我們有水，這正是差異化）。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【重點：兩個核心量+條數只作驗證+長度不量；φe→導水係數是我們的加值】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