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討論文獻掛載</w:t>
      </w:r>
    </w:p>
    <w:p>
      <w:r>
        <w:rPr>
          <w:rFonts w:ascii="Times New Roman" w:hAnsi="Times New Roman" w:eastAsia="標楷體"/>
          <w:b w:val="0"/>
          <w:sz w:val="23"/>
        </w:rPr>
        <w:t>L3 對照（</w:t>
      </w:r>
      <w:r>
        <w:rPr>
          <w:rFonts w:ascii="Times New Roman" w:hAnsi="Times New Roman" w:eastAsia="標楷體"/>
          <w:b w:val="0"/>
          <w:color w:val="1F4EC8"/>
          <w:sz w:val="23"/>
        </w:rPr>
        <w:t>(Zhou et al., 2024)</w:t>
      </w:r>
      <w:r>
        <w:rPr>
          <w:rFonts w:ascii="Times New Roman" w:hAnsi="Times New Roman" w:eastAsia="標楷體"/>
          <w:b w:val="0"/>
          <w:sz w:val="23"/>
        </w:rPr>
        <w:t xml:space="preserve"> 開挖期 vs 我們營運期差異化）＋</w:t>
      </w:r>
      <w:r>
        <w:rPr>
          <w:rFonts w:ascii="Times New Roman" w:hAnsi="Times New Roman" w:eastAsia="標楷體"/>
          <w:b w:val="0"/>
          <w:color w:val="1F4EC8"/>
          <w:sz w:val="23"/>
        </w:rPr>
        <w:t>(Fahimifar &amp; Zareifard, 2009)</w:t>
      </w:r>
      <w:r>
        <w:rPr>
          <w:rFonts w:ascii="Times New Roman" w:hAnsi="Times New Roman" w:eastAsia="標楷體"/>
          <w:b w:val="0"/>
          <w:sz w:val="23"/>
        </w:rPr>
        <w:t xml:space="preserve"> 量級對照＋</w:t>
      </w:r>
      <w:r>
        <w:rPr>
          <w:rFonts w:ascii="Times New Roman" w:hAnsi="Times New Roman" w:eastAsia="標楷體"/>
          <w:b w:val="0"/>
          <w:color w:val="1F4EC8"/>
          <w:sz w:val="23"/>
        </w:rPr>
        <w:t>(Liu et al., 2022)</w:t>
      </w:r>
      <w:r>
        <w:rPr>
          <w:rFonts w:ascii="Times New Roman" w:hAnsi="Times New Roman" w:eastAsia="標楷體"/>
          <w:b w:val="0"/>
          <w:sz w:val="23"/>
        </w:rPr>
        <w:t xml:space="preserve"> 補強對策一句。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