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標楷體"/>
          <w:b/>
          <w:sz w:val="30"/>
        </w:rPr>
        <w:t>結論條目草案</w:t>
      </w:r>
    </w:p>
    <w:p>
      <w:r>
        <w:rPr>
          <w:rFonts w:ascii="Times New Roman" w:hAnsi="Times New Roman" w:eastAsia="標楷體"/>
          <w:b w:val="0"/>
          <w:sz w:val="23"/>
        </w:rPr>
        <w:t>貢獻①跨尺度鏈把水循環→襯砌開裂量化到單一裂縫級②滯動襯砌節律（91%/7.0/0.0046）③帶狀分區＋環向主導與現地曲線異狀段對照④D→E 回饋自增強（2.83×）＋耦合構型論證⑤水位相位控制損傷率→地下水管理即損傷管理。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【重點：五條各配一個數字】</w:t>
      </w:r>
    </w:p>
    <w:p>
      <w:r>
        <w:rPr>
          <w:rFonts w:ascii="Times New Roman" w:hAnsi="Times New Roman" w:eastAsia="標楷體"/>
          <w:b w:val="0"/>
          <w:sz w:val="23"/>
        </w:rPr>
        <w:t>限制①f=0.25 趨勢級＋100m 情境擺幅（→未來：實測年循環重跑）②雙向為初探（單一回饋律、未含 L0 分解；素混凝土 BPM→未來：配筋 BPM＋對照鏈）。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【重點：限制與未來 1:1 鏡像；不提方法論硬傷】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