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標楷體"/>
          <w:b/>
          <w:sz w:val="32"/>
        </w:rPr>
        <w:t>碩論→期刊濃縮對照表（第一刀：解析解全砍；v2 補讀後註記）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/>
                <w:sz w:val="22"/>
              </w:rPr>
              <w:t>碩論內容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/>
                <w:sz w:val="22"/>
              </w:rPr>
              <w:t>期刊處置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/>
                <w:sz w:val="22"/>
              </w:rPr>
              <w:t>說明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Ch1 緒論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濃縮入前言 P1/P5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研究方法沿革刪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Ch2 解析解相關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【砍】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 xml:space="preserve">僅 </w:t>
            </w:r>
            <w:r>
              <w:rPr>
                <w:rFonts w:ascii="Times New Roman" w:hAnsi="Times New Roman" w:eastAsia="標楷體"/>
                <w:b w:val="0"/>
                <w:color w:val="1F4EC8"/>
                <w:sz w:val="21"/>
              </w:rPr>
              <w:t>(Fahimifar &amp; Zareifard, 2009)</w:t>
            </w:r>
            <w:r>
              <w:rPr>
                <w:rFonts w:ascii="Times New Roman" w:hAnsi="Times New Roman" w:eastAsia="標楷體"/>
                <w:b w:val="0"/>
                <w:sz w:val="21"/>
              </w:rPr>
              <w:t xml:space="preserve"> 留作討論章量級對照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Ch2 潛變理論/模型系譜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砍，引前作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前言以 56 篇文獻庫重建；</w:t>
            </w:r>
            <w:r>
              <w:rPr>
                <w:rFonts w:ascii="Times New Roman" w:hAnsi="Times New Roman" w:eastAsia="標楷體"/>
                <w:b w:val="0"/>
                <w:color w:val="C00000"/>
                <w:sz w:val="21"/>
              </w:rPr>
              <w:t>圖4</w:t>
            </w:r>
            <w:r>
              <w:rPr>
                <w:rFonts w:ascii="Times New Roman" w:hAnsi="Times New Roman" w:eastAsia="標楷體"/>
                <w:b w:val="0"/>
                <w:sz w:val="21"/>
              </w:rPr>
              <w:t xml:space="preserve"> 系譜面板取代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Ch3 案例（TT 版）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濃縮入期刊 Ch3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病徵分型＋監測時序保留（案例先行政治：</w:t>
            </w:r>
            <w:r>
              <w:rPr>
                <w:rFonts w:ascii="Times New Roman" w:hAnsi="Times New Roman" w:eastAsia="標楷體"/>
                <w:b w:val="0"/>
                <w:color w:val="1F4EC8"/>
                <w:sz w:val="21"/>
              </w:rPr>
              <w:t>(Wang et al., 2023)</w:t>
            </w:r>
            <w:r>
              <w:rPr>
                <w:rFonts w:ascii="Times New Roman" w:hAnsi="Times New Roman" w:eastAsia="標楷體"/>
                <w:b w:val="0"/>
                <w:sz w:val="21"/>
              </w:rPr>
              <w:t xml:space="preserve"> 式獨立背景節）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Ch4 多尺度地質模型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期刊 3.3 一節＋</w:t>
            </w:r>
            <w:r>
              <w:rPr>
                <w:rFonts w:ascii="Times New Roman" w:hAnsi="Times New Roman" w:eastAsia="標楷體"/>
                <w:b w:val="0"/>
                <w:color w:val="008040"/>
                <w:sz w:val="21"/>
              </w:rPr>
              <w:t>表2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建模過程刪、只留組態＋出處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Ch5.1-5.2 方法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期刊 Ch2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假設條款前置法（</w:t>
            </w:r>
            <w:r>
              <w:rPr>
                <w:rFonts w:ascii="Times New Roman" w:hAnsi="Times New Roman" w:eastAsia="標楷體"/>
                <w:b w:val="0"/>
                <w:color w:val="1F4EC8"/>
                <w:sz w:val="21"/>
              </w:rPr>
              <w:t>(Wu et al., 2024)</w:t>
            </w:r>
            <w:r>
              <w:rPr>
                <w:rFonts w:ascii="Times New Roman" w:hAnsi="Times New Roman" w:eastAsia="標楷體"/>
                <w:b w:val="0"/>
                <w:sz w:val="21"/>
              </w:rPr>
              <w:t xml:space="preserve"> 式引文護盾）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Ch5.3-5.4 單向成果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期刊 Ch4（21 圖→9 張）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刪過程性圖；⚖ 圖5-10 驅動場驗證去留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Ch5.5 侷限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拆入討論＋結論限制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包裝依 _SYN_packaging 十式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Ch6 結論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重寫（5 貢獻＋2 限制）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不復述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（碩論無）雙向耦合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期刊 5.1 新寫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初探定位</w:t>
            </w:r>
          </w:p>
        </w:tc>
      </w:tr>
    </w:tbl>
    <w:p>
      <w:r>
        <w:rPr>
          <w:rFonts w:ascii="Times New Roman" w:hAnsi="Times New Roman" w:eastAsia="標楷體"/>
          <w:b/>
          <w:color w:val="C00000"/>
          <w:sz w:val="24"/>
        </w:rPr>
        <w:t>【⚖ 待裁決】</w:t>
      </w:r>
      <w:r>
        <w:rPr>
          <w:rFonts w:ascii="Times New Roman" w:hAnsi="Times New Roman" w:eastAsia="標楷體"/>
          <w:b w:val="0"/>
          <w:sz w:val="24"/>
        </w:rPr>
        <w:t>續裁三候選：①坡地尺度篇幅②圖5-10 去留③QA 寫入深度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