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寫作工藝手冊（56 篇精讀萃取；本檔即文書規則示範）</w:t>
      </w:r>
    </w:p>
    <w:p>
      <w:r>
        <w:rPr>
          <w:rFonts w:ascii="Times New Roman" w:hAnsi="Times New Roman" w:eastAsia="標楷體"/>
          <w:b w:val="0"/>
          <w:sz w:val="22"/>
        </w:rPr>
        <w:t>來源：refs/reading_notes/ 三份綜合報告（_SYN_title_anatomy／_SYN_intro_moves／_SYN_packaging），本手冊為落筆版摘要；細節與逐篇證據回查原檔。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【重點：這一頁是「怎麼寫」的作戰卡，寫作時貼在螢幕邊】</w:t>
      </w:r>
    </w:p>
    <w:p>
      <w:r>
        <w:rPr>
          <w:rFonts w:ascii="Times New Roman" w:hAnsi="Times New Roman" w:eastAsia="標楷體"/>
          <w:b/>
          <w:sz w:val="28"/>
        </w:rPr>
        <w:t>一、題目工藝（56 題解剖）</w:t>
      </w:r>
    </w:p>
    <w:p>
      <w:r>
        <w:rPr>
          <w:rFonts w:ascii="Times New Roman" w:hAnsi="Times New Roman" w:eastAsia="標楷體"/>
          <w:b w:val="0"/>
          <w:sz w:val="24"/>
        </w:rPr>
        <w:t xml:space="preserve">病害機制賽道 11/11 零方法詞；案例匿名化 30/31；「driven by」樣本零出現、「influenced by」僅 </w:t>
      </w:r>
      <w:r>
        <w:rPr>
          <w:rFonts w:ascii="Times New Roman" w:hAnsi="Times New Roman" w:eastAsia="標楷體"/>
          <w:b w:val="0"/>
          <w:color w:val="1F4EC8"/>
          <w:sz w:val="24"/>
        </w:rPr>
        <w:t>(Chiu et al., 2017)</w:t>
      </w:r>
      <w:r>
        <w:rPr>
          <w:rFonts w:ascii="Times New Roman" w:hAnsi="Times New Roman" w:eastAsia="標楷體"/>
          <w:b w:val="0"/>
          <w:sz w:val="24"/>
        </w:rPr>
        <w:t xml:space="preserve"> 一例、「under+情境」80%+ 為壓倒性構式；自創機制詞入題＝佔定義權（non-Darcy、pipeline-type karst 前例）。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【重點：題目零方法字＋under 構式＋機制詞佔位】</w:t>
      </w:r>
    </w:p>
    <w:p>
      <w:r>
        <w:rPr>
          <w:rFonts w:ascii="Times New Roman" w:hAnsi="Times New Roman" w:eastAsia="標楷體"/>
          <w:b/>
          <w:sz w:val="28"/>
        </w:rPr>
        <w:t>二、前言五段骨架（B 型雙支線＋二階二分法收束）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 xml:space="preserve">P1 現象共識＋案例鉤子：共識句（襯砌裂縫=營運隧道最常見病害）→場景收窄（山岳鐵路×多雨×服役 N 年）→硬數字鉤子 1-2 個→維修反覆失效句 </w:t>
      </w:r>
      <w:r>
        <w:rPr>
          <w:rFonts w:ascii="Times New Roman" w:hAnsi="Times New Roman" w:eastAsia="標楷體"/>
          <w:b w:val="0"/>
          <w:color w:val="1F4EC8"/>
          <w:sz w:val="22"/>
        </w:rPr>
        <w:t>(Wang et al., 2023)</w:t>
      </w:r>
      <w:r>
        <w:rPr>
          <w:rFonts w:ascii="Times New Roman" w:hAnsi="Times New Roman" w:eastAsia="標楷體"/>
          <w:b w:val="0"/>
          <w:sz w:val="22"/>
        </w:rPr>
        <w:t>→需求收尾。全段零方法詞。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【重點：P1 禁方法詞；鉤子要帶數字】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P2 支線 A（襯砌裂縫研究）→第一刀：一句一人動詞鏈 4-8 筆（</w:t>
      </w:r>
      <w:r>
        <w:rPr>
          <w:rFonts w:ascii="Times New Roman" w:hAnsi="Times New Roman" w:eastAsia="標楷體"/>
          <w:b w:val="0"/>
          <w:color w:val="1F4EC8"/>
          <w:sz w:val="22"/>
        </w:rPr>
        <w:t>(Chiu et al., 2017)</w:t>
      </w:r>
      <w:r>
        <w:rPr>
          <w:rFonts w:ascii="Times New Roman" w:hAnsi="Times New Roman" w:eastAsia="標楷體"/>
          <w:b w:val="0"/>
          <w:color w:val="1F4EC8"/>
          <w:sz w:val="22"/>
        </w:rPr>
        <w:t>(Wang et al., 2024)</w:t>
      </w:r>
      <w:r>
        <w:rPr>
          <w:rFonts w:ascii="Times New Roman" w:hAnsi="Times New Roman" w:eastAsia="標楷體"/>
          <w:b w:val="0"/>
          <w:color w:val="1F4EC8"/>
          <w:sz w:val="22"/>
        </w:rPr>
        <w:t>(Chen et al., 2024)</w:t>
      </w:r>
      <w:r>
        <w:rPr>
          <w:rFonts w:ascii="Times New Roman" w:hAnsi="Times New Roman" w:eastAsia="標楷體"/>
          <w:b w:val="0"/>
          <w:color w:val="1F4EC8"/>
          <w:sz w:val="22"/>
        </w:rPr>
        <w:t>(Zhang et al., 2022)</w:t>
      </w:r>
      <w:r>
        <w:rPr>
          <w:rFonts w:ascii="Times New Roman" w:hAnsi="Times New Roman" w:eastAsia="標楷體"/>
          <w:b w:val="0"/>
          <w:sz w:val="22"/>
        </w:rPr>
        <w:t>…）→段尾缺口：既有成果多靜態/單調載重，水文驅動的時間演化未被檢視。缺口寫成「實務失效/認識缺口」型，不寫方法缺口。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【重點：第一刀砍在認識缺口，不砍方法】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 xml:space="preserve">P3 支線 B（水×隧道依時）→第二刀：三軌回顧（解析 </w:t>
      </w:r>
      <w:r>
        <w:rPr>
          <w:rFonts w:ascii="Times New Roman" w:hAnsi="Times New Roman" w:eastAsia="標楷體"/>
          <w:b w:val="0"/>
          <w:color w:val="1F4EC8"/>
          <w:sz w:val="22"/>
        </w:rPr>
        <w:t>(Fahimifar &amp; Zareifard, 2009)</w:t>
      </w:r>
      <w:r>
        <w:rPr>
          <w:rFonts w:ascii="Times New Roman" w:hAnsi="Times New Roman" w:eastAsia="標楷體"/>
          <w:b w:val="0"/>
          <w:sz w:val="22"/>
        </w:rPr>
        <w:t xml:space="preserve">／實驗 </w:t>
      </w:r>
      <w:r>
        <w:rPr>
          <w:rFonts w:ascii="Times New Roman" w:hAnsi="Times New Roman" w:eastAsia="標楷體"/>
          <w:b w:val="0"/>
          <w:color w:val="1F4EC8"/>
          <w:sz w:val="22"/>
        </w:rPr>
        <w:t>(Sun et al., 2023)</w:t>
      </w:r>
      <w:r>
        <w:rPr>
          <w:rFonts w:ascii="Times New Roman" w:hAnsi="Times New Roman" w:eastAsia="標楷體"/>
          <w:b w:val="0"/>
          <w:color w:val="1F4EC8"/>
          <w:sz w:val="22"/>
        </w:rPr>
        <w:t>(Li et al., 2021)</w:t>
      </w:r>
      <w:r>
        <w:rPr>
          <w:rFonts w:ascii="Times New Roman" w:hAnsi="Times New Roman" w:eastAsia="標楷體"/>
          <w:b w:val="0"/>
          <w:sz w:val="22"/>
        </w:rPr>
        <w:t xml:space="preserve">／案例 </w:t>
      </w:r>
      <w:r>
        <w:rPr>
          <w:rFonts w:ascii="Times New Roman" w:hAnsi="Times New Roman" w:eastAsia="標楷體"/>
          <w:b w:val="0"/>
          <w:color w:val="1F4EC8"/>
          <w:sz w:val="22"/>
        </w:rPr>
        <w:t>(Tarifard et al., 2022)</w:t>
      </w:r>
      <w:r>
        <w:rPr>
          <w:rFonts w:ascii="Times New Roman" w:hAnsi="Times New Roman" w:eastAsia="標楷體"/>
          <w:b w:val="0"/>
          <w:sz w:val="22"/>
        </w:rPr>
        <w:t>）→段尾雙短句：穩態假設×連續體極限。王牌證詞：</w:t>
      </w:r>
      <w:r>
        <w:rPr>
          <w:rFonts w:ascii="Times New Roman" w:hAnsi="Times New Roman" w:eastAsia="標楷體"/>
          <w:b w:val="0"/>
          <w:color w:val="1F4EC8"/>
          <w:sz w:val="22"/>
        </w:rPr>
        <w:t>(Wang et al., 2023)</w:t>
      </w:r>
      <w:r>
        <w:rPr>
          <w:rFonts w:ascii="Times New Roman" w:hAnsi="Times New Roman" w:eastAsia="標楷體"/>
          <w:b w:val="0"/>
          <w:sz w:val="22"/>
        </w:rPr>
        <w:t xml:space="preserve"> 自陳水是 root cause 但模型無水——同社群自指未解的落差。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【重點：雙層下刀：情境缺口＋工具缺口分開砍】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P4 方法系譜＋二階二分法收束：耦合已成熟（</w:t>
      </w:r>
      <w:r>
        <w:rPr>
          <w:rFonts w:ascii="Times New Roman" w:hAnsi="Times New Roman" w:eastAsia="標楷體"/>
          <w:b w:val="0"/>
          <w:color w:val="1F4EC8"/>
          <w:sz w:val="22"/>
        </w:rPr>
        <w:t>(Zhou et al., 2024)</w:t>
      </w:r>
      <w:r>
        <w:rPr>
          <w:rFonts w:ascii="Times New Roman" w:hAnsi="Times New Roman" w:eastAsia="標楷體"/>
          <w:b w:val="0"/>
          <w:color w:val="1F4EC8"/>
          <w:sz w:val="22"/>
        </w:rPr>
        <w:t>(Bai et al., 2022)</w:t>
      </w:r>
      <w:r>
        <w:rPr>
          <w:rFonts w:ascii="Times New Roman" w:hAnsi="Times New Roman" w:eastAsia="標楷體"/>
          <w:b w:val="0"/>
          <w:color w:val="1F4EC8"/>
          <w:sz w:val="22"/>
        </w:rPr>
        <w:t>(Lisjak et al., 2015)</w:t>
      </w:r>
      <w:r>
        <w:rPr>
          <w:rFonts w:ascii="Times New Roman" w:hAnsi="Times New Roman" w:eastAsia="標楷體"/>
          <w:b w:val="0"/>
          <w:color w:val="1F4EC8"/>
          <w:sz w:val="22"/>
        </w:rPr>
        <w:t>(Yan et al., 2023)</w:t>
      </w:r>
      <w:r>
        <w:rPr>
          <w:rFonts w:ascii="Times New Roman" w:hAnsi="Times New Roman" w:eastAsia="標楷體"/>
          <w:b w:val="0"/>
          <w:sz w:val="22"/>
        </w:rPr>
        <w:t xml:space="preserve">）→「既有耦合研究聚焦開挖期圍岩；少數及襯砌者僅單調載重。同時滿足（i）水位循環載重（ii）襯砌裂縫顯式解析（iii）跨尺度互制之框架仍闕如」。搭配 </w:t>
      </w:r>
      <w:r>
        <w:rPr>
          <w:rFonts w:ascii="Times New Roman" w:hAnsi="Times New Roman" w:eastAsia="標楷體"/>
          <w:b w:val="0"/>
          <w:color w:val="C00000"/>
          <w:sz w:val="22"/>
        </w:rPr>
        <w:t>圖4</w:t>
      </w:r>
      <w:r>
        <w:rPr>
          <w:rFonts w:ascii="Times New Roman" w:hAnsi="Times New Roman" w:eastAsia="標楷體"/>
          <w:b w:val="0"/>
          <w:sz w:val="22"/>
        </w:rPr>
        <w:t xml:space="preserve"> 系譜面板 This work 落點。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【重點：三要素句框出唯一空格＝本文形狀】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P5 貢獻宣告：To address this gap→案例錨定句（資料規格式：年數/期數/測點數）→方法鏈句→not only…but also 雙賣點句（機制揭示＋維養門檻）→機制鏈口號預告。不用 novel/first。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【重點：not only…but also＝TUST 高頻貢獻句式】</w:t>
      </w:r>
    </w:p>
    <w:p>
      <w:r>
        <w:rPr>
          <w:rFonts w:ascii="Times New Roman" w:hAnsi="Times New Roman" w:eastAsia="標楷體"/>
          <w:b/>
          <w:sz w:val="28"/>
        </w:rPr>
        <w:t>三、缺陷包裝（十式精選＋我方六弱點對策）</w:t>
      </w:r>
    </w:p>
    <w:p>
      <w:r>
        <w:rPr>
          <w:rFonts w:ascii="Times New Roman" w:hAnsi="Times New Roman" w:eastAsia="標楷體"/>
          <w:b w:val="0"/>
          <w:sz w:val="24"/>
        </w:rPr>
        <w:t>樣本大發現：25 篇全文中僅 2 篇設獨立 limitations 節——主流是「就地消化」。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【重點：不設 limitations 專節是常態】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我方弱點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包裝式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落筆要領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f=0.25 縮尺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A1 假設前置＋A4 趨勢級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 xml:space="preserve">方法節前置宣告 trend-level＋標定敘事；引 </w:t>
            </w:r>
            <w:r>
              <w:rPr>
                <w:rFonts w:ascii="Times New Roman" w:hAnsi="Times New Roman" w:eastAsia="標楷體"/>
                <w:b w:val="0"/>
                <w:color w:val="1F4EC8"/>
                <w:sz w:val="21"/>
              </w:rPr>
              <w:t>(Barla et al., 2012)</w:t>
            </w:r>
            <w:r>
              <w:rPr>
                <w:rFonts w:ascii="Times New Roman" w:hAnsi="Times New Roman" w:eastAsia="標楷體"/>
                <w:b w:val="0"/>
                <w:sz w:val="21"/>
              </w:rPr>
              <w:t xml:space="preserve"> average-response 免責框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100m 擺幅 vs 實測 30m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A2 scope＋needs-based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 xml:space="preserve">寫成「極端補注情境」適用域；引 </w:t>
            </w:r>
            <w:r>
              <w:rPr>
                <w:rFonts w:ascii="Times New Roman" w:hAnsi="Times New Roman" w:eastAsia="標楷體"/>
                <w:b w:val="0"/>
                <w:color w:val="1F4EC8"/>
                <w:sz w:val="21"/>
              </w:rPr>
              <w:t>(Tarifard et al., 2022)</w:t>
            </w:r>
            <w:r>
              <w:rPr>
                <w:rFonts w:ascii="Times New Roman" w:hAnsi="Times New Roman" w:eastAsia="標楷體"/>
                <w:b w:val="0"/>
                <w:sz w:val="21"/>
              </w:rPr>
              <w:t xml:space="preserve"> 營運期水位回升需求式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單案例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A6 稀缺反轉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n=1 翻成十年複合監測鏈之資料價值（</w:t>
            </w:r>
            <w:r>
              <w:rPr>
                <w:rFonts w:ascii="Times New Roman" w:hAnsi="Times New Roman" w:eastAsia="標楷體"/>
                <w:b w:val="0"/>
                <w:color w:val="1F4EC8"/>
                <w:sz w:val="21"/>
              </w:rPr>
              <w:t>(Chiu et al., 2017)</w:t>
            </w:r>
            <w:r>
              <w:rPr>
                <w:rFonts w:ascii="Times New Roman" w:hAnsi="Times New Roman" w:eastAsia="標楷體"/>
                <w:b w:val="0"/>
                <w:sz w:val="21"/>
              </w:rPr>
              <w:t xml:space="preserve"> 同招）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素混凝土 BPM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A2＋A3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適用域=無筋/低配筋襯砌；配筋 BPM 入 future work 1:1 鏡像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現地型態差異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A9 誠實限定框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對照層級=分區與帶狀分佈；地震/施工縫分量歸因外部化；</w:t>
            </w:r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圖2</w:t>
            </w:r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圖11</w:t>
            </w:r>
            <w:r>
              <w:rPr>
                <w:rFonts w:ascii="Times New Roman" w:hAnsi="Times New Roman" w:eastAsia="標楷體"/>
                <w:b w:val="0"/>
                <w:sz w:val="21"/>
              </w:rPr>
              <w:t xml:space="preserve"> 同座標讓讀者自檢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K0=0.7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A1 引文護盾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008040"/>
                <w:sz w:val="21"/>
              </w:rPr>
              <w:t>表2</w:t>
            </w:r>
            <w:r>
              <w:rPr>
                <w:rFonts w:ascii="Times New Roman" w:hAnsi="Times New Roman" w:eastAsia="標楷體"/>
                <w:b w:val="0"/>
                <w:sz w:val="21"/>
              </w:rPr>
              <w:t xml:space="preserve"> 出處欄＋一句敏感度；202411 顧問審查回覆佐證</w:t>
            </w:r>
          </w:p>
        </w:tc>
      </w:tr>
    </w:tbl>
    <w:p>
      <w:r>
        <w:rPr>
          <w:rFonts w:ascii="Times New Roman" w:hAnsi="Times New Roman" w:eastAsia="標楷體"/>
          <w:b w:val="0"/>
          <w:sz w:val="24"/>
        </w:rPr>
        <w:t>紅線（反面教材）：①「自己說重要、自己不做」的水矛盾（</w:t>
      </w:r>
      <w:r>
        <w:rPr>
          <w:rFonts w:ascii="Times New Roman" w:hAnsi="Times New Roman" w:eastAsia="標楷體"/>
          <w:b w:val="0"/>
          <w:color w:val="1F4EC8"/>
          <w:sz w:val="24"/>
        </w:rPr>
        <w:t>(Wang et al., 2023)</w:t>
      </w:r>
      <w:r>
        <w:rPr>
          <w:rFonts w:ascii="Times New Roman" w:hAnsi="Times New Roman" w:eastAsia="標楷體"/>
          <w:b w:val="0"/>
          <w:sz w:val="24"/>
        </w:rPr>
        <w:t xml:space="preserve"> 被我們當把柄的錯不可自犯）②路線圖承諾違約③方法缺口當主缺口會被問 so what④讓步句不展開、一行帶過即反轉。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【重點：簡化必須與前言主張自洽】</w:t>
      </w:r>
    </w:p>
    <w:p>
      <w:r>
        <w:rPr>
          <w:rFonts w:ascii="Times New Roman" w:hAnsi="Times New Roman" w:eastAsia="標楷體"/>
          <w:b/>
          <w:sz w:val="28"/>
        </w:rPr>
        <w:t>四、文書規則（本檔示範中）</w:t>
      </w:r>
    </w:p>
    <w:p>
      <w:r>
        <w:rPr>
          <w:rFonts w:ascii="Times New Roman" w:hAnsi="Times New Roman" w:eastAsia="標楷體"/>
          <w:b w:val="0"/>
          <w:sz w:val="24"/>
        </w:rPr>
        <w:t xml:space="preserve">①每段末【重點：…】黃底黑字；②引用一律 author-year 藍字如 </w:t>
      </w:r>
      <w:r>
        <w:rPr>
          <w:rFonts w:ascii="Times New Roman" w:hAnsi="Times New Roman" w:eastAsia="標楷體"/>
          <w:b w:val="0"/>
          <w:color w:val="1F4EC8"/>
          <w:sz w:val="24"/>
        </w:rPr>
        <w:t>(Chiu et al., 2017)</w:t>
      </w:r>
      <w:r>
        <w:rPr>
          <w:rFonts w:ascii="Times New Roman" w:hAnsi="Times New Roman" w:eastAsia="標楷體"/>
          <w:b w:val="0"/>
          <w:sz w:val="24"/>
        </w:rPr>
        <w:t>；③</w:t>
      </w:r>
      <w:r>
        <w:rPr>
          <w:rFonts w:ascii="Times New Roman" w:hAnsi="Times New Roman" w:eastAsia="標楷體"/>
          <w:b w:val="0"/>
          <w:color w:val="C00000"/>
          <w:sz w:val="24"/>
        </w:rPr>
        <w:t>圖XX</w:t>
      </w:r>
      <w:r>
        <w:rPr>
          <w:rFonts w:ascii="Times New Roman" w:hAnsi="Times New Roman" w:eastAsia="標楷體"/>
          <w:b w:val="0"/>
          <w:sz w:val="24"/>
        </w:rPr>
        <w:t xml:space="preserve"> 紅字；④</w:t>
      </w:r>
      <w:r>
        <w:rPr>
          <w:rFonts w:ascii="Times New Roman" w:hAnsi="Times New Roman" w:eastAsia="標楷體"/>
          <w:b w:val="0"/>
          <w:color w:val="008040"/>
          <w:sz w:val="24"/>
        </w:rPr>
        <w:t>表XX</w:t>
      </w:r>
      <w:r>
        <w:rPr>
          <w:rFonts w:ascii="Times New Roman" w:hAnsi="Times New Roman" w:eastAsia="標楷體"/>
          <w:b w:val="0"/>
          <w:sz w:val="24"/>
        </w:rPr>
        <w:t xml:space="preserve"> 綠字；⑤圖領句起段（「</w:t>
      </w:r>
      <w:r>
        <w:rPr>
          <w:rFonts w:ascii="Times New Roman" w:hAnsi="Times New Roman" w:eastAsia="標楷體"/>
          <w:b w:val="0"/>
          <w:color w:val="C00000"/>
          <w:sz w:val="24"/>
        </w:rPr>
        <w:t>圖X</w:t>
      </w:r>
      <w:r>
        <w:rPr>
          <w:rFonts w:ascii="Times New Roman" w:hAnsi="Times New Roman" w:eastAsia="標楷體"/>
          <w:b w:val="0"/>
          <w:sz w:val="24"/>
        </w:rPr>
        <w:t xml:space="preserve"> 為…」）；⑥量化用倍率/區間；⑦段落 150–350 字一段一事；⑧綜合前述句收節。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【重點：與 IJRMMS 前作文書慣例完全對齊】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