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標楷體"/>
          <w:b/>
          <w:sz w:val="32"/>
        </w:rPr>
        <w:t>碩論→期刊濃縮對照表（證據優先版）</w:t>
      </w:r>
    </w:p>
    <w:p>
      <w:r>
        <w:rPr>
          <w:rFonts w:ascii="Times New Roman" w:hAnsi="Times New Roman" w:eastAsia="標楷體"/>
          <w:b w:val="0"/>
          <w:sz w:val="22"/>
        </w:rPr>
        <w:t>濃縮不是把碩論章節按比例刪短，而是只保留能服務期刊主問題的證據。現階段建議主問題為：循環地下水情境下，依時坡隧反應如何經跨尺度傳遞形成襯砌微損傷與空間群聚？</w:t>
      </w:r>
      <w:r>
        <w:rPr>
          <w:rFonts w:ascii="Times New Roman" w:hAnsi="Times New Roman" w:eastAsia="標楷體"/>
          <w:b w:val="0"/>
          <w:sz w:val="22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0"/>
          <w:highlight w:val="yellow"/>
        </w:rPr>
        <w:t>【重點：保留『回答研究問題所需的最少完整證據鏈』，不保留所有曾完成的工作】</w:t>
      </w:r>
    </w:p>
    <w:p>
      <w:pPr>
        <w:pStyle w:val="Heading2"/>
      </w:pPr>
      <w:r>
        <w:rPr>
          <w:rFonts w:ascii="Times New Roman" w:hAnsi="Times New Roman" w:eastAsia="標楷體"/>
          <w:b/>
          <w:sz w:val="28"/>
        </w:rPr>
        <w:t>投稿前不可缺的新增證據</w:t>
      </w:r>
    </w:p>
    <w:p>
      <w:pPr>
        <w:pStyle w:val="ListBullet"/>
      </w:pPr>
      <w:r>
        <w:rPr>
          <w:rFonts w:ascii="Times New Roman" w:hAnsi="Times New Roman" w:eastAsia="標楷體"/>
          <w:b w:val="0"/>
          <w:sz w:val="21"/>
        </w:rPr>
        <w:t>現地資料矩陣：每一資料的日期、範圍、精度、座標、是否可跨期比較。</w:t>
      </w:r>
    </w:p>
    <w:p>
      <w:pPr>
        <w:pStyle w:val="ListBullet"/>
      </w:pPr>
      <w:r>
        <w:rPr>
          <w:rFonts w:ascii="Times New Roman" w:hAnsi="Times New Roman" w:eastAsia="標楷體"/>
          <w:b w:val="0"/>
          <w:sz w:val="21"/>
        </w:rPr>
        <w:t>PFC 材料與結構層率定：E、ν、UCS、ft、破壞型態、起裂與尺寸／粒徑敏感度。</w:t>
      </w:r>
    </w:p>
    <w:p>
      <w:pPr>
        <w:pStyle w:val="ListBullet"/>
      </w:pPr>
      <w:r>
        <w:rPr>
          <w:rFonts w:ascii="Times New Roman" w:hAnsi="Times New Roman" w:eastAsia="標楷體"/>
          <w:b w:val="0"/>
          <w:sz w:val="21"/>
        </w:rPr>
        <w:t>尺度傳遞 QA：剛體扣除、應變一致性、映射守恆、CONTROL-0 及版本／hash。</w:t>
      </w:r>
    </w:p>
    <w:p>
      <w:pPr>
        <w:pStyle w:val="ListBullet"/>
      </w:pPr>
      <w:r>
        <w:rPr>
          <w:rFonts w:ascii="Times New Roman" w:hAnsi="Times New Roman" w:eastAsia="標楷體"/>
          <w:b w:val="0"/>
          <w:sz w:val="21"/>
        </w:rPr>
        <w:t>若 06 入核心：同 26-tick L0、Eeff(D)、交換間隔、timestep 與 uniform-D 對照。</w:t>
      </w:r>
    </w:p>
    <w:p>
      <w:r>
        <w:rPr>
          <w:rFonts w:ascii="Times New Roman" w:hAnsi="Times New Roman" w:eastAsia="標楷體"/>
          <w:b/>
          <w:color w:val="C00000"/>
          <w:sz w:val="24"/>
        </w:rPr>
        <w:t>【⚖ 待裁決】</w:t>
      </w:r>
      <w:r>
        <w:rPr>
          <w:rFonts w:ascii="Times New Roman" w:hAnsi="Times New Roman" w:eastAsia="標楷體"/>
          <w:b w:val="0"/>
          <w:sz w:val="24"/>
        </w:rPr>
        <w:t>請裁決兩項：①05 是否確立為主文核心；②06 是探索性 Discussion，或先補完控制組後再決定篇幅。</w:t>
      </w:r>
    </w:p>
    <w:tbl>
      <w:tblPr>
        <w:tblStyle w:val="TableGrid"/>
        <w:tblW w:type="dxa" w:w="13868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2380"/>
        <w:gridCol w:w="2484"/>
        <w:gridCol w:w="4347"/>
        <w:gridCol w:w="4657"/>
      </w:tblGrid>
      <w:tr>
        <w:trPr>
          <w:tblHeader/>
        </w:trPr>
        <w:tc>
          <w:tcPr>
            <w:tcW w:type="dxa" w:w="23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/>
                <w:sz w:val="18"/>
              </w:rPr>
              <w:t>來源／內容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/>
                <w:sz w:val="18"/>
              </w:rPr>
              <w:t>期刊處置／成熟度</w:t>
            </w:r>
          </w:p>
        </w:tc>
        <w:tc>
          <w:tcPr>
            <w:tcW w:type="dxa" w:w="43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/>
                <w:sz w:val="18"/>
              </w:rPr>
              <w:t>必留材料</w:t>
            </w:r>
          </w:p>
        </w:tc>
        <w:tc>
          <w:tcPr>
            <w:tcW w:type="dxa" w:w="46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/>
                <w:sz w:val="18"/>
              </w:rPr>
              <w:t>證據邊界／修改</w:t>
            </w:r>
          </w:p>
        </w:tc>
      </w:tr>
      <w:tr>
        <w:trPr>
          <w:cantSplit/>
        </w:trPr>
        <w:tc>
          <w:tcPr>
            <w:tcW w:type="dxa" w:w="23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碩論既有｜Ch1 緒論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重建五段前言｜planning</w:t>
            </w:r>
          </w:p>
        </w:tc>
        <w:tc>
          <w:tcPr>
            <w:tcW w:type="dxa" w:w="43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案例問題、文獻分段證據、組合缺口、目的</w:t>
            </w:r>
          </w:p>
        </w:tc>
        <w:tc>
          <w:tcPr>
            <w:tcW w:type="dxa" w:w="46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不沿用「無人做過」「完整因果鏈」；57 篇依 A/B/B*/C 選用</w:t>
            </w:r>
          </w:p>
        </w:tc>
      </w:tr>
      <w:tr>
        <w:trPr>
          <w:cantSplit/>
        </w:trPr>
        <w:tc>
          <w:tcPr>
            <w:tcW w:type="dxa" w:w="23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碩論既有｜Ch2 解析解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大幅濃縮｜benchmark</w:t>
            </w:r>
          </w:p>
        </w:tc>
        <w:tc>
          <w:tcPr>
            <w:tcW w:type="dxa" w:w="43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Fahimifar/Tan 作 hydraulic-only benchmark 或量級檢核</w:t>
            </w:r>
          </w:p>
        </w:tc>
        <w:tc>
          <w:tcPr>
            <w:tcW w:type="dxa" w:w="46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不是全砍；若正文沒有實際 benchmark，僅在前言／討論交代其理論位置</w:t>
            </w:r>
          </w:p>
        </w:tc>
      </w:tr>
      <w:tr>
        <w:trPr>
          <w:cantSplit/>
        </w:trPr>
        <w:tc>
          <w:tcPr>
            <w:tcW w:type="dxa" w:w="23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碩論既有｜Ch2 潛變理論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只留差異｜verified formulation</w:t>
            </w:r>
          </w:p>
        </w:tc>
        <w:tc>
          <w:tcPr>
            <w:tcW w:type="dxa" w:w="43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門檻模型、變數、啟閉條件、定準與數值實作</w:t>
            </w:r>
          </w:p>
        </w:tc>
        <w:tc>
          <w:tcPr>
            <w:tcW w:type="dxa" w:w="46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前作 in-review 只作 lineage；外部 Sulem/Paraskevopoulou/Tarifard 承擔必要性</w:t>
            </w:r>
          </w:p>
        </w:tc>
      </w:tr>
      <w:tr>
        <w:trPr>
          <w:cantSplit/>
        </w:trPr>
        <w:tc>
          <w:tcPr>
            <w:tcW w:type="dxa" w:w="23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碩論既有｜Ch3 案例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獨立案例節｜field observation</w:t>
            </w:r>
          </w:p>
        </w:tc>
        <w:tc>
          <w:tcPr>
            <w:tcW w:type="dxa" w:w="43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地質、水文、病害分期、修復與資料 provenance</w:t>
            </w:r>
          </w:p>
        </w:tc>
        <w:tc>
          <w:tcPr>
            <w:tcW w:type="dxa" w:w="46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observation、inference、scenario input 分欄；不把 100 m 寫成現地水位</w:t>
            </w:r>
          </w:p>
        </w:tc>
      </w:tr>
      <w:tr>
        <w:trPr>
          <w:cantSplit/>
        </w:trPr>
        <w:tc>
          <w:tcPr>
            <w:tcW w:type="dxa" w:w="23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碩論既有｜Ch4 地質模型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濃縮建模｜verified setup</w:t>
            </w:r>
          </w:p>
        </w:tc>
        <w:tc>
          <w:tcPr>
            <w:tcW w:type="dxa" w:w="43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三尺度幾何、地層、邊界、參數來源與尺度轉換</w:t>
            </w:r>
          </w:p>
        </w:tc>
        <w:tc>
          <w:tcPr>
            <w:tcW w:type="dxa" w:w="46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刪軟體操作史；保留會影響結果的假設及 K0／滲透率／網格資訊</w:t>
            </w:r>
          </w:p>
        </w:tc>
      </w:tr>
      <w:tr>
        <w:trPr>
          <w:cantSplit/>
        </w:trPr>
        <w:tc>
          <w:tcPr>
            <w:tcW w:type="dxa" w:w="23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碩論既有＋重分析｜Ch5 方法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重組方法章｜mixed maturity</w:t>
            </w:r>
          </w:p>
        </w:tc>
        <w:tc>
          <w:tcPr>
            <w:tcW w:type="dxa" w:w="43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尺度傳遞、Kabsch、門檻、BPM、registry、聚類與 QA</w:t>
            </w:r>
          </w:p>
        </w:tc>
        <w:tc>
          <w:tcPr>
            <w:tcW w:type="dxa" w:w="46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補 PFC E/ν/UCS/ft、起裂、破壞型態與 CONTROL-0；斷鍵不直接等於裂縫</w:t>
            </w:r>
          </w:p>
        </w:tc>
      </w:tr>
      <w:tr>
        <w:trPr>
          <w:cantSplit/>
        </w:trPr>
        <w:tc>
          <w:tcPr>
            <w:tcW w:type="dxa" w:w="23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碩論定版｜Ch5 單向成果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Results 主體｜verified numerical result</w:t>
            </w:r>
          </w:p>
        </w:tc>
        <w:tc>
          <w:tcPr>
            <w:tcW w:type="dxa" w:w="43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水力／門檻反應、損傷節律、載重與空間群聚</w:t>
            </w:r>
          </w:p>
        </w:tc>
        <w:tc>
          <w:tcPr>
            <w:tcW w:type="dxa" w:w="46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過程圖刪；同色階、同時點、同分母；每個倍率皆交代定義與情境</w:t>
            </w:r>
          </w:p>
        </w:tc>
      </w:tr>
      <w:tr>
        <w:trPr>
          <w:cantSplit/>
        </w:trPr>
        <w:tc>
          <w:tcPr>
            <w:tcW w:type="dxa" w:w="23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碩論既有｜Ch5 侷限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scope＋uncertainty｜known limitation</w:t>
            </w:r>
          </w:p>
        </w:tc>
        <w:tc>
          <w:tcPr>
            <w:tcW w:type="dxa" w:w="43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100 m、f=0.25、timestep、素混凝土、單案例</w:t>
            </w:r>
          </w:p>
        </w:tc>
        <w:tc>
          <w:tcPr>
            <w:tcW w:type="dxa" w:w="46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不以「包裝」隱藏；在首次使用前前置，討論末再總結其影響</w:t>
            </w:r>
          </w:p>
        </w:tc>
      </w:tr>
      <w:tr>
        <w:trPr>
          <w:cantSplit/>
        </w:trPr>
        <w:tc>
          <w:tcPr>
            <w:tcW w:type="dxa" w:w="23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碩論既有｜Ch6 結論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重寫 3–4 項｜claim audit</w:t>
            </w:r>
          </w:p>
        </w:tc>
        <w:tc>
          <w:tcPr>
            <w:tcW w:type="dxa" w:w="43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方法整合、相位節律、空間損傷、條件式工程意涵</w:t>
            </w:r>
          </w:p>
        </w:tc>
        <w:tc>
          <w:tcPr>
            <w:tcW w:type="dxa" w:w="46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不把 06 2.83×列核心結論，除非 L0 與敏感度完成</w:t>
            </w:r>
          </w:p>
        </w:tc>
      </w:tr>
      <w:tr>
        <w:trPr>
          <w:cantSplit/>
        </w:trPr>
        <w:tc>
          <w:tcPr>
            <w:tcW w:type="dxa" w:w="23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畢業後新增｜06 T5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Discussion exploratory｜preliminary result</w:t>
            </w:r>
          </w:p>
        </w:tc>
        <w:tc>
          <w:tcPr>
            <w:tcW w:type="dxa" w:w="43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26-tick 流程、D(s,y)→E、觀察差異與 QA</w:t>
            </w:r>
          </w:p>
        </w:tc>
        <w:tc>
          <w:tcPr>
            <w:tcW w:type="dxa" w:w="46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稱 partitioned/staggered feedback；不是 strong coupling；不作絕對壽命預測</w:t>
            </w:r>
          </w:p>
        </w:tc>
      </w:tr>
    </w:tbl>
    <w:sectPr w:rsidR="00FC693F" w:rsidRPr="0006063C" w:rsidSect="00034616">
      <w:pgSz w:w="15840" w:h="12240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 w:eastAsia="標楷體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imes New Roman" w:hAnsi="Times New Roman" w:eastAsia="標楷體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