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文章題目、賣點、材料（框架首頁 v3，2026-07-22；56 篇精讀後重寫）</w:t>
      </w:r>
    </w:p>
    <w:p>
      <w:r>
        <w:rPr>
          <w:rFonts w:ascii="Times New Roman" w:hAnsi="Times New Roman" w:eastAsia="標楷體"/>
          <w:b w:val="0"/>
          <w:sz w:val="22"/>
        </w:rPr>
        <w:t>本版依全庫 56 篇逐篇精讀之數據重寫（統計見 References/reading_notes/_SYN_title_anatomy.md）。文書規則自本版起落地：段落末黃底重點、引用文獻藍字、</w:t>
      </w:r>
      <w:r>
        <w:rPr>
          <w:rFonts w:ascii="Times New Roman" w:hAnsi="Times New Roman" w:eastAsia="標楷體"/>
          <w:b w:val="0"/>
          <w:color w:val="C00000"/>
          <w:sz w:val="22"/>
        </w:rPr>
        <w:t>圖XX</w:t>
      </w:r>
      <w:r>
        <w:rPr>
          <w:rFonts w:ascii="Times New Roman" w:hAnsi="Times New Roman" w:eastAsia="標楷體"/>
          <w:b w:val="0"/>
          <w:sz w:val="22"/>
        </w:rPr>
        <w:t xml:space="preserve"> 紅字、</w:t>
      </w:r>
      <w:r>
        <w:rPr>
          <w:rFonts w:ascii="Times New Roman" w:hAnsi="Times New Roman" w:eastAsia="標楷體"/>
          <w:b w:val="0"/>
          <w:color w:val="008040"/>
          <w:sz w:val="22"/>
        </w:rPr>
        <w:t>表XX</w:t>
      </w:r>
      <w:r>
        <w:rPr>
          <w:rFonts w:ascii="Times New Roman" w:hAnsi="Times New Roman" w:eastAsia="標楷體"/>
          <w:b w:val="0"/>
          <w:sz w:val="22"/>
        </w:rPr>
        <w:t xml:space="preserve"> 綠字。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【重點：本頁=全文之錨；此頁不穩不動正文】</w:t>
      </w:r>
    </w:p>
    <w:p>
      <w:r>
        <w:rPr>
          <w:rFonts w:ascii="Times New Roman" w:hAnsi="Times New Roman" w:eastAsia="標楷體"/>
          <w:b/>
          <w:sz w:val="28"/>
        </w:rPr>
        <w:t>一、題目（定版建議＝混血案；56 題解剖數據支撐）</w:t>
      </w:r>
    </w:p>
    <w:p>
      <w:r>
        <w:rPr>
          <w:rFonts w:ascii="Times New Roman" w:hAnsi="Times New Roman" w:eastAsia="標楷體"/>
          <w:b w:val="0"/>
          <w:sz w:val="24"/>
        </w:rPr>
        <w:t xml:space="preserve">數據事實：我們的賽道（營運隧道病害×機制歸因）11/11 題目零方法詞；案例匿名化 30/31（“an operating tunnel” 式）；“under+水文驅動” 有同刊直接前例 </w:t>
      </w:r>
      <w:r>
        <w:rPr>
          <w:rFonts w:ascii="Times New Roman" w:hAnsi="Times New Roman" w:eastAsia="標楷體"/>
          <w:b w:val="0"/>
          <w:color w:val="1F4EC8"/>
          <w:sz w:val="24"/>
        </w:rPr>
        <w:t>(Sun et al., 2023)</w:t>
      </w:r>
      <w:r>
        <w:rPr>
          <w:rFonts w:ascii="Times New Roman" w:hAnsi="Times New Roman" w:eastAsia="標楷體"/>
          <w:b w:val="0"/>
          <w:sz w:val="24"/>
        </w:rPr>
        <w:t xml:space="preserve">；“crack evolution” 承接 </w:t>
      </w:r>
      <w:r>
        <w:rPr>
          <w:rFonts w:ascii="Times New Roman" w:hAnsi="Times New Roman" w:eastAsia="標楷體"/>
          <w:b w:val="0"/>
          <w:color w:val="1F4EC8"/>
          <w:sz w:val="24"/>
        </w:rPr>
        <w:t>(Chiu et al., 2017)</w:t>
      </w:r>
      <w:r>
        <w:rPr>
          <w:rFonts w:ascii="Times New Roman" w:hAnsi="Times New Roman" w:eastAsia="標楷體"/>
          <w:b w:val="0"/>
          <w:sz w:val="24"/>
        </w:rPr>
        <w:t xml:space="preserve"> 系譜（被引 94）。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【重點：賽道慣例：題目零方法詞、案例匿名、方法退居賣點層】</w:t>
      </w:r>
    </w:p>
    <w:p>
      <w:r>
        <w:rPr>
          <w:rFonts w:ascii="Times New Roman" w:hAnsi="Times New Roman" w:eastAsia="標楷體"/>
          <w:b/>
          <w:sz w:val="24"/>
        </w:rPr>
        <w:t>首選（評分 22/25）：</w:t>
      </w:r>
    </w:p>
    <w:p>
      <w:pPr>
        <w:ind w:left="360"/>
      </w:pPr>
      <w:r>
        <w:rPr>
          <w:rFonts w:ascii="Times New Roman" w:hAnsi="Times New Roman" w:eastAsia="標楷體"/>
          <w:b/>
          <w:sz w:val="24"/>
        </w:rPr>
        <w:t>Lining crack evolution of an operating mountain railway tunnel under cyclic groundwater fluctuation: intermittent time-dependent deformation as the driving mechanism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營運山岳鐵路隧道襯砌裂縫在地下水位循環下之演化：以滯動依時變形為驅動機制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 xml:space="preserve">主標繼承 </w:t>
      </w:r>
      <w:r>
        <w:rPr>
          <w:rFonts w:ascii="Times New Roman" w:hAnsi="Times New Roman" w:eastAsia="標楷體"/>
          <w:b w:val="0"/>
          <w:color w:val="1F4EC8"/>
          <w:sz w:val="22"/>
        </w:rPr>
        <w:t>(Chiu et al., 2017)</w:t>
      </w:r>
      <w:r>
        <w:rPr>
          <w:rFonts w:ascii="Times New Roman" w:hAnsi="Times New Roman" w:eastAsia="標楷體"/>
          <w:b w:val="0"/>
          <w:sz w:val="22"/>
        </w:rPr>
        <w:t xml:space="preserve"> 的「crack evolution of an operational tunnel」構式（續作訊號）；副標把 intermittent time-dependent deformation 佔位入題、跨刊承接前作</w:t>
      </w:r>
      <w:r>
        <w:rPr>
          <w:rFonts w:ascii="Times New Roman" w:hAnsi="Times New Roman" w:eastAsia="標楷體"/>
          <w:b w:val="0"/>
          <w:color w:val="1F4EC8"/>
          <w:sz w:val="22"/>
        </w:rPr>
        <w:t>(Tsai et al., in review)</w:t>
      </w:r>
      <w:r>
        <w:rPr>
          <w:rFonts w:ascii="Times New Roman" w:hAnsi="Times New Roman" w:eastAsia="標楷體"/>
          <w:b w:val="0"/>
          <w:sz w:val="22"/>
        </w:rPr>
        <w:t xml:space="preserve"> 術語——一題同時鎖兩條團隊系譜。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【重點：一題鎖雙系譜：2017 案例線＋前作理論線】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備案 A（安全牌，若機制證據鏈不足以撐單因歸因）：Lining crack evolution of an operating mountain railway tunnel influenced by cyclic groundwater fluctuation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備案 B（審稿疑慮時副標降級）：副標改 the role of intermittent time-dependent deformation（弱化為角色探討；不建議先自弱）。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題目定版：首選混血案／備案 A？（N-B 淘汰：三連字複合詞、56 篇樣本零前例）</w:t>
      </w:r>
    </w:p>
    <w:p>
      <w:r>
        <w:rPr>
          <w:rFonts w:ascii="Times New Roman" w:hAnsi="Times New Roman" w:eastAsia="標楷體"/>
          <w:b/>
          <w:sz w:val="28"/>
        </w:rPr>
        <w:t>二、賣點（v2 重排：案例×機制＝故事主軸，方法＝差異化手段）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賣點 1｜案例資產之唯一性：營運中文化資產鐵道隧道×十年病徵時序複合監測鏈（LiDAR 全斷面兩期、三期異狀展開圖、裂縫計持續緩剪紀錄、修復履歷、水位計年擺幅）。戰法＝</w:t>
      </w:r>
      <w:r>
        <w:rPr>
          <w:rFonts w:ascii="Times New Roman" w:hAnsi="Times New Roman" w:eastAsia="標楷體"/>
          <w:b w:val="0"/>
          <w:color w:val="1F4EC8"/>
          <w:sz w:val="24"/>
        </w:rPr>
        <w:t>(Chiu et al., 2017)</w:t>
      </w:r>
      <w:r>
        <w:rPr>
          <w:rFonts w:ascii="Times New Roman" w:hAnsi="Times New Roman" w:eastAsia="標楷體"/>
          <w:b w:val="0"/>
          <w:sz w:val="24"/>
        </w:rPr>
        <w:t xml:space="preserve"> 的稀缺性反轉：長期裂縫時序紀錄極少見，n=1 翻成資料價值。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【重點：故事主角是案例，不是模型】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 xml:space="preserve">賣點 2｜機制主張＝滯動起閉的襯砌尺度延伸：前作 </w:t>
      </w:r>
      <w:r>
        <w:rPr>
          <w:rFonts w:ascii="Times New Roman" w:hAnsi="Times New Roman" w:eastAsia="標楷體"/>
          <w:b w:val="0"/>
          <w:color w:val="1F4EC8"/>
          <w:sz w:val="24"/>
        </w:rPr>
        <w:t>(Tsai et al., in review)</w:t>
      </w:r>
      <w:r>
        <w:rPr>
          <w:rFonts w:ascii="Times New Roman" w:hAnsi="Times New Roman" w:eastAsia="標楷體"/>
          <w:b w:val="0"/>
          <w:sz w:val="24"/>
        </w:rPr>
        <w:t xml:space="preserve"> 建立圍岩尺度滯動理論，本文推進到「水位相位控制襯砌損傷節律」：雨峰爆發 A_wet=7.0、退水凍結 A_frz=0.0046、濕窗貢獻 91% 損傷增量。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【重點：機制詞已入題＝佔位】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賣點 3｜方法特色一：三維工程地質模型錨定之跨尺度傳遞鏈（坡地→隧道→襯砌；340 m 鑽探＋室內試驗給參數出處；Kabsch 剛體扣除＋應變一致性檢核）。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【重點：地質模型是出處不是背景】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 xml:space="preserve">賣點 4｜方法特色二：BPM 離散襯砌之裂縫型態學（2.08M 鍵結、三軌分類環/斜/縱，與現地展開圖同座標對照）。最近前例 </w:t>
      </w:r>
      <w:r>
        <w:rPr>
          <w:rFonts w:ascii="Times New Roman" w:hAnsi="Times New Roman" w:eastAsia="標楷體"/>
          <w:b w:val="0"/>
          <w:color w:val="1F4EC8"/>
          <w:sz w:val="24"/>
        </w:rPr>
        <w:t>(Liu et al., 2023)</w:t>
      </w:r>
      <w:r>
        <w:rPr>
          <w:rFonts w:ascii="Times New Roman" w:hAnsi="Times New Roman" w:eastAsia="標楷體"/>
          <w:b w:val="0"/>
          <w:sz w:val="24"/>
        </w:rPr>
        <w:t xml:space="preserve"> 僅及材料缺陷單調載重、</w:t>
      </w:r>
      <w:r>
        <w:rPr>
          <w:rFonts w:ascii="Times New Roman" w:hAnsi="Times New Roman" w:eastAsia="標楷體"/>
          <w:b w:val="0"/>
          <w:color w:val="1F4EC8"/>
          <w:sz w:val="24"/>
        </w:rPr>
        <w:t>(Zheng et al., 2024)</w:t>
      </w:r>
      <w:r>
        <w:rPr>
          <w:rFonts w:ascii="Times New Roman" w:hAnsi="Times New Roman" w:eastAsia="標楷體"/>
          <w:b w:val="0"/>
          <w:sz w:val="24"/>
        </w:rPr>
        <w:t xml:space="preserve"> 僅及潛變無水；水文循環驅動之離散襯砌損傷無人做過。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【重點：離散襯砌×水循環＝文獻空格】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賣點 5｜方法特色三＋工程收尾：D→E 損傷回饋初探（day-130 損傷達單向 2.83×，放討論章）＋「地下水位管理＝襯砌損傷管理」之維養含義（TUST maintenance 範疇甜蜜點）。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【重點：回饋當討論不當主菜；工程含義收尾】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賣點措辭與排序？（案例先行、方法置後之新排序是否符合你的直覺）</w:t>
      </w:r>
    </w:p>
    <w:p>
      <w:r>
        <w:rPr>
          <w:rFonts w:ascii="Times New Roman" w:hAnsi="Times New Roman" w:eastAsia="標楷體"/>
          <w:b/>
          <w:sz w:val="28"/>
        </w:rPr>
        <w:t>三、材料（5 項食材，不變）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材料 1：修正力學模式（門檻黏彈塑 Burgers-Mohr；s1 門檻掃描定準法）——引前作、只寫差異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材料 2：三維工程地質模型（坡地 4 層／隧道 6 層／互制模型；202411 附錄 11/12/13 鑽探試驗出處）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材料 3：真實案例資料（#46 隧道 1233 m、R=50 曲線：LiDAR 兩期、三期展開圖、裂縫計、修復履歷）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材料 4：單向弱耦合定版成果（05 v6：130 天、37,980 斷鍵、環199/斜19/縱3 m、外壓 946 kPa、推力 1,029 kN/m）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材料 5：雙向強耦合鏈（06 T5：26×5 天、D→E 回饋、107,479 斷鍵=2.83×）</w:t>
      </w:r>
    </w:p>
    <w:p>
      <w:r>
        <w:rPr>
          <w:rFonts w:ascii="Times New Roman" w:hAnsi="Times New Roman" w:eastAsia="標楷體"/>
          <w:b/>
          <w:sz w:val="28"/>
        </w:rPr>
        <w:t>四、討論要點（5 項，不變）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・雙向 vs 單向放大之分解（L0 對照鏈）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・門檻 T 的物理意義與定準敏感度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・水位擺幅情境論證（實測 ~30 m vs 模擬 100 m）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・f=0.25 縮尺與趨勢級解讀邊界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・水位管理＝損傷管理（滯動泵收尾）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