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前言各段核心句與句式骨架（落筆作戰卡）</w:t>
      </w:r>
    </w:p>
    <w:p>
      <w:r>
        <w:rPr>
          <w:rFonts w:ascii="Times New Roman" w:hAnsi="Times New Roman" w:eastAsia="標楷體"/>
          <w:b/>
          <w:sz w:val="26"/>
        </w:rPr>
        <w:t>P1 核心</w:t>
      </w:r>
    </w:p>
    <w:p>
      <w:r>
        <w:rPr>
          <w:rFonts w:ascii="Times New Roman" w:hAnsi="Times New Roman" w:eastAsia="標楷體"/>
          <w:b w:val="0"/>
          <w:sz w:val="23"/>
        </w:rPr>
        <w:t xml:space="preserve">共識句起手：襯砌裂縫為營運隧道最常見病害（此句即 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被引 94 次的主要引用點）→場景收窄（山岳鐵路×多雨×服役 N 年）→硬數字鉤子 1–2 個（裂縫增速/水位振幅）→維修反覆失效句（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2023)</w:t>
      </w:r>
      <w:r>
        <w:rPr>
          <w:rFonts w:ascii="Times New Roman" w:hAnsi="Times New Roman" w:eastAsia="標楷體"/>
          <w:b w:val="0"/>
          <w:sz w:val="23"/>
        </w:rPr>
        <w:t xml:space="preserve"> destruction-restoration 循環）→需求收尾：掌握水文驅動機制是維養決策前提。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【重點：P1 禁方法詞；鉤子帶數字；失效句殺傷力最高】</w:t>
      </w:r>
    </w:p>
    <w:p>
      <w:r>
        <w:rPr>
          <w:rFonts w:ascii="Times New Roman" w:hAnsi="Times New Roman" w:eastAsia="標楷體"/>
          <w:b/>
          <w:sz w:val="26"/>
        </w:rPr>
        <w:t>P2 核心</w:t>
      </w:r>
    </w:p>
    <w:p>
      <w:r>
        <w:rPr>
          <w:rFonts w:ascii="Times New Roman" w:hAnsi="Times New Roman" w:eastAsia="標楷體"/>
          <w:b w:val="0"/>
          <w:sz w:val="23"/>
        </w:rPr>
        <w:t>一句一人動詞鏈 4–8 筆（觀測→指標→試驗→模擬序）：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演化已記錄但未檢視乾濕季調製；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2024)</w:t>
      </w:r>
      <w:r>
        <w:rPr>
          <w:rFonts w:ascii="Times New Roman" w:hAnsi="Times New Roman" w:eastAsia="標楷體"/>
          <w:b w:val="0"/>
          <w:sz w:val="23"/>
        </w:rPr>
        <w:t xml:space="preserve"> 指標已立但未及生命週期力學根源（其文末自點名「可由數值模擬驗證」——直接引為墊腳）；</w:t>
      </w:r>
      <w:r>
        <w:rPr>
          <w:rFonts w:ascii="Times New Roman" w:hAnsi="Times New Roman" w:eastAsia="標楷體"/>
          <w:b w:val="0"/>
          <w:color w:val="1F4EC8"/>
          <w:sz w:val="23"/>
        </w:rPr>
        <w:t>(Chen et al., 2024)</w:t>
      </w:r>
      <w:r>
        <w:rPr>
          <w:rFonts w:ascii="Times New Roman" w:hAnsi="Times New Roman" w:eastAsia="標楷體"/>
          <w:b w:val="0"/>
          <w:sz w:val="23"/>
        </w:rPr>
        <w:t xml:space="preserve"> 靜態裂縫深度對應；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2022)</w:t>
      </w:r>
      <w:r>
        <w:rPr>
          <w:rFonts w:ascii="Times New Roman" w:hAnsi="Times New Roman" w:eastAsia="標楷體"/>
          <w:b w:val="0"/>
          <w:sz w:val="23"/>
        </w:rPr>
        <w:t xml:space="preserve"> 排水劣化因果。段尾第一刀＝認識缺口型，不砍方法。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【重點：第一刀砍認識缺口；方法缺口留 P4】</w:t>
      </w:r>
    </w:p>
    <w:p>
      <w:r>
        <w:rPr>
          <w:rFonts w:ascii="Times New Roman" w:hAnsi="Times New Roman" w:eastAsia="標楷體"/>
          <w:b/>
          <w:sz w:val="26"/>
        </w:rPr>
        <w:t>P3 核心</w:t>
      </w:r>
    </w:p>
    <w:p>
      <w:r>
        <w:rPr>
          <w:rFonts w:ascii="Times New Roman" w:hAnsi="Times New Roman" w:eastAsia="標楷體"/>
          <w:b w:val="0"/>
          <w:sz w:val="23"/>
        </w:rPr>
        <w:t xml:space="preserve">三軌回顧：解析 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（穩態 HM 正典）／實驗 </w:t>
      </w:r>
      <w:r>
        <w:rPr>
          <w:rFonts w:ascii="Times New Roman" w:hAnsi="Times New Roman" w:eastAsia="標楷體"/>
          <w:b w:val="0"/>
          <w:color w:val="1F4EC8"/>
          <w:sz w:val="23"/>
        </w:rPr>
        <w:t>(Sun et al., 2023)</w:t>
      </w:r>
      <w:r>
        <w:rPr>
          <w:rFonts w:ascii="Times New Roman" w:hAnsi="Times New Roman" w:eastAsia="標楷體"/>
          <w:b w:val="0"/>
          <w:sz w:val="23"/>
        </w:rPr>
        <w:t>（水位波動響應）</w:t>
      </w:r>
      <w:r>
        <w:rPr>
          <w:rFonts w:ascii="Times New Roman" w:hAnsi="Times New Roman" w:eastAsia="標楷體"/>
          <w:b w:val="0"/>
          <w:color w:val="1F4EC8"/>
          <w:sz w:val="23"/>
        </w:rPr>
        <w:t>(Li et al., 2021)</w:t>
      </w:r>
      <w:r>
        <w:rPr>
          <w:rFonts w:ascii="Times New Roman" w:hAnsi="Times New Roman" w:eastAsia="標楷體"/>
          <w:b w:val="0"/>
          <w:sz w:val="23"/>
        </w:rPr>
        <w:t xml:space="preserve">（飽和-失水循環劣化）／案例 </w:t>
      </w:r>
      <w:r>
        <w:rPr>
          <w:rFonts w:ascii="Times New Roman" w:hAnsi="Times New Roman" w:eastAsia="標楷體"/>
          <w:b w:val="0"/>
          <w:color w:val="1F4EC8"/>
          <w:sz w:val="23"/>
        </w:rPr>
        <w:t>(Tarifard et al., 2022)</w:t>
      </w:r>
      <w:r>
        <w:rPr>
          <w:rFonts w:ascii="Times New Roman" w:hAnsi="Times New Roman" w:eastAsia="標楷體"/>
          <w:b w:val="0"/>
          <w:sz w:val="23"/>
        </w:rPr>
        <w:t>（明言恆定水頭——cyclic vs static 缺口現成）。王牌證詞：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2023)</w:t>
      </w:r>
      <w:r>
        <w:rPr>
          <w:rFonts w:ascii="Times New Roman" w:hAnsi="Times New Roman" w:eastAsia="標楷體"/>
          <w:b w:val="0"/>
          <w:sz w:val="23"/>
        </w:rPr>
        <w:t xml:space="preserve"> 自陳水為 root cause 但模型無水。段尾雙短句：穩態假設×連續體無法顯式解析裂縫（</w:t>
      </w:r>
      <w:r>
        <w:rPr>
          <w:rFonts w:ascii="Times New Roman" w:hAnsi="Times New Roman" w:eastAsia="標楷體"/>
          <w:b w:val="0"/>
          <w:color w:val="1F4EC8"/>
          <w:sz w:val="23"/>
        </w:rPr>
        <w:t>(Yin et al., 2022)</w:t>
      </w:r>
      <w:r>
        <w:rPr>
          <w:rFonts w:ascii="Times New Roman" w:hAnsi="Times New Roman" w:eastAsia="標楷體"/>
          <w:b w:val="0"/>
          <w:sz w:val="23"/>
        </w:rPr>
        <w:t xml:space="preserve"> 的 FLAC3D 自白可引）。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【重點：雙層下刀：情境缺口＋工具缺口分開砍】</w:t>
      </w:r>
    </w:p>
    <w:p>
      <w:r>
        <w:rPr>
          <w:rFonts w:ascii="Times New Roman" w:hAnsi="Times New Roman" w:eastAsia="標楷體"/>
          <w:b/>
          <w:sz w:val="26"/>
        </w:rPr>
        <w:t>P4 核心</w:t>
      </w:r>
    </w:p>
    <w:p>
      <w:r>
        <w:rPr>
          <w:rFonts w:ascii="Times New Roman" w:hAnsi="Times New Roman" w:eastAsia="標楷體"/>
          <w:b w:val="0"/>
          <w:sz w:val="23"/>
        </w:rPr>
        <w:t>系譜句 4–6 筆（</w:t>
      </w:r>
      <w:r>
        <w:rPr>
          <w:rFonts w:ascii="Times New Roman" w:hAnsi="Times New Roman" w:eastAsia="標楷體"/>
          <w:b w:val="0"/>
          <w:color w:val="1F4EC8"/>
          <w:sz w:val="23"/>
        </w:rPr>
        <w:t>(Lisjak et al., 2015)</w:t>
      </w:r>
      <w:r>
        <w:rPr>
          <w:rFonts w:ascii="Times New Roman" w:hAnsi="Times New Roman" w:eastAsia="標楷體"/>
          <w:b w:val="0"/>
          <w:color w:val="1F4EC8"/>
          <w:sz w:val="23"/>
        </w:rPr>
        <w:t>(Yan et al., 2023)</w:t>
      </w:r>
      <w:r>
        <w:rPr>
          <w:rFonts w:ascii="Times New Roman" w:hAnsi="Times New Roman" w:eastAsia="標楷體"/>
          <w:b w:val="0"/>
          <w:color w:val="1F4EC8"/>
          <w:sz w:val="23"/>
        </w:rPr>
        <w:t>(Zhou et al., 2024)</w:t>
      </w:r>
      <w:r>
        <w:rPr>
          <w:rFonts w:ascii="Times New Roman" w:hAnsi="Times New Roman" w:eastAsia="標楷體"/>
          <w:b w:val="0"/>
          <w:color w:val="1F4EC8"/>
          <w:sz w:val="23"/>
        </w:rPr>
        <w:t>(Bai et al., 2022)</w:t>
      </w:r>
      <w:r>
        <w:rPr>
          <w:rFonts w:ascii="Times New Roman" w:hAnsi="Times New Roman" w:eastAsia="標楷體"/>
          <w:b w:val="0"/>
          <w:color w:val="1F4EC8"/>
          <w:sz w:val="23"/>
        </w:rPr>
        <w:t>(Rasmussen &amp; Min, 2024)</w:t>
      </w:r>
      <w:r>
        <w:rPr>
          <w:rFonts w:ascii="Times New Roman" w:hAnsi="Times New Roman" w:eastAsia="標楷體"/>
          <w:b w:val="0"/>
          <w:sz w:val="23"/>
        </w:rPr>
        <w:t xml:space="preserve">）→二階二分法收束：既有耦合研究聚焦開挖期圍岩；少數及襯砌者僅單調載重；同時滿足（i）水位循環載重（ii）襯砌裂縫顯式解析（iii）跨尺度互制之框架闕如。搭配 </w:t>
      </w:r>
      <w:r>
        <w:rPr>
          <w:rFonts w:ascii="Times New Roman" w:hAnsi="Times New Roman" w:eastAsia="標楷體"/>
          <w:b w:val="0"/>
          <w:color w:val="C00000"/>
          <w:sz w:val="23"/>
        </w:rPr>
        <w:t>圖4</w:t>
      </w:r>
      <w:r>
        <w:rPr>
          <w:rFonts w:ascii="Times New Roman" w:hAnsi="Times New Roman" w:eastAsia="標楷體"/>
          <w:b w:val="0"/>
          <w:sz w:val="23"/>
        </w:rPr>
        <w:t xml:space="preserve"> 系譜面板 This work 落點。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【重點：三要素句框出的空格形狀＝本文】</w:t>
      </w:r>
    </w:p>
    <w:p>
      <w:r>
        <w:rPr>
          <w:rFonts w:ascii="Times New Roman" w:hAnsi="Times New Roman" w:eastAsia="標楷體"/>
          <w:b/>
          <w:sz w:val="26"/>
        </w:rPr>
        <w:t>P5 核心</w:t>
      </w:r>
    </w:p>
    <w:p>
      <w:r>
        <w:rPr>
          <w:rFonts w:ascii="Times New Roman" w:hAnsi="Times New Roman" w:eastAsia="標楷體"/>
          <w:b w:val="0"/>
          <w:sz w:val="23"/>
        </w:rPr>
        <w:t>To address this gap→案例錨定句（資料規格式：年數/期數/測點數，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P5 寫法）→方法鏈句→not only…but also 雙賣點句（機制揭示＋維養門檻；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2025)</w:t>
      </w:r>
      <w:r>
        <w:rPr>
          <w:rFonts w:ascii="Times New Roman" w:hAnsi="Times New Roman" w:eastAsia="標楷體"/>
          <w:b w:val="0"/>
          <w:color w:val="1F4EC8"/>
          <w:sz w:val="23"/>
        </w:rPr>
        <w:t>(Ou et al., 2025)</w:t>
      </w:r>
      <w:r>
        <w:rPr>
          <w:rFonts w:ascii="Times New Roman" w:hAnsi="Times New Roman" w:eastAsia="標楷體"/>
          <w:b w:val="0"/>
          <w:sz w:val="23"/>
        </w:rPr>
        <w:t xml:space="preserve"> TUST 高頻句式）→機制鏈口號預告（水位循環→有效應力反覆→裂縫棘輪擴展→性能劣化）。全段不用 novel/first；FDM-DEM 全名首現於此。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【重點：not only…but also＝TUST 行情句式；貢獻靠可攜數字自證】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