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結果表規劃</w:t>
      </w:r>
    </w:p>
    <w:p>
      <w:r>
        <w:rPr>
          <w:rFonts w:ascii="Times New Roman" w:hAnsi="Times New Roman" w:eastAsia="標楷體"/>
          <w:b w:val="0"/>
          <w:color w:val="008040"/>
          <w:sz w:val="23"/>
        </w:rPr>
        <w:t>表5</w:t>
      </w:r>
      <w:r>
        <w:rPr>
          <w:rFonts w:ascii="Times New Roman" w:hAnsi="Times New Roman" w:eastAsia="標楷體"/>
          <w:b w:val="0"/>
          <w:sz w:val="23"/>
        </w:rPr>
        <w:t xml:space="preserve"> 之單向欄位（逐階段 CS-CHK 摘要）。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【重點：表載數字、圖載趨勢】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