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結果各節核心</w:t>
      </w:r>
    </w:p>
    <w:p>
      <w:r>
        <w:rPr>
          <w:rFonts w:ascii="Times New Roman" w:hAnsi="Times New Roman" w:eastAsia="標楷體"/>
          <w:b w:val="0"/>
          <w:sz w:val="23"/>
        </w:rPr>
        <w:t>4.1 核心：三尺度互證＝滯動不是單一模型巧合；Δpp=0.98 MPa=ρg·100m 檢核先立可信度。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【重點：先檢核後敘事】</w:t>
      </w:r>
    </w:p>
    <w:p>
      <w:r>
        <w:rPr>
          <w:rFonts w:ascii="Times New Roman" w:hAnsi="Times New Roman" w:eastAsia="標楷體"/>
          <w:b w:val="0"/>
          <w:sz w:val="23"/>
        </w:rPr>
        <w:t>4.2 核心：損傷有節律（A_wet=7.0/A_frz=0.0046/濕窗 91%）、有空間（右肩–右腰帶）、有型態（環向主導 199/19/3 m）——三個「有」各配一張圖。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【重點：節律/空間/型態三位一體】</w:t>
      </w:r>
    </w:p>
    <w:p>
      <w:r>
        <w:rPr>
          <w:rFonts w:ascii="Times New Roman" w:hAnsi="Times New Roman" w:eastAsia="標楷體"/>
          <w:b w:val="0"/>
          <w:sz w:val="23"/>
        </w:rPr>
        <w:t>4.3 核心（A9 誠實限定框）：對照層級＝高損傷帶落點與分區、非逐條裂縫；現地含地震/施工縫分量（109 地震在案）、模擬為水文驅動分量——歸因外部化（</w:t>
      </w:r>
      <w:r>
        <w:rPr>
          <w:rFonts w:ascii="Times New Roman" w:hAnsi="Times New Roman" w:eastAsia="標楷體"/>
          <w:b w:val="0"/>
          <w:color w:val="1F4EC8"/>
          <w:sz w:val="23"/>
        </w:rPr>
        <w:t>(Yin et al., 2022)</w:t>
      </w:r>
      <w:r>
        <w:rPr>
          <w:rFonts w:ascii="Times New Roman" w:hAnsi="Times New Roman" w:eastAsia="標楷體"/>
          <w:b w:val="0"/>
          <w:sz w:val="23"/>
        </w:rPr>
        <w:t xml:space="preserve"> 量測時機歸因同式）；</w:t>
      </w:r>
      <w:r>
        <w:rPr>
          <w:rFonts w:ascii="Times New Roman" w:hAnsi="Times New Roman" w:eastAsia="標楷體"/>
          <w:b w:val="0"/>
          <w:color w:val="C00000"/>
          <w:sz w:val="23"/>
        </w:rPr>
        <w:t>圖2</w:t>
      </w:r>
      <w:r>
        <w:rPr>
          <w:rFonts w:ascii="Times New Roman" w:hAnsi="Times New Roman" w:eastAsia="標楷體"/>
          <w:b w:val="0"/>
          <w:color w:val="C00000"/>
          <w:sz w:val="23"/>
        </w:rPr>
        <w:t>圖11</w:t>
      </w:r>
      <w:r>
        <w:rPr>
          <w:rFonts w:ascii="Times New Roman" w:hAnsi="Times New Roman" w:eastAsia="標楷體"/>
          <w:b w:val="0"/>
          <w:sz w:val="23"/>
        </w:rPr>
        <w:t xml:space="preserve"> 同座標讓讀者自檢。若 W1 統計出爐，補一個銳利數字命中（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sz w:val="23"/>
        </w:rPr>
        <w:t xml:space="preserve"> 事件級命中戰法：一個 0.282 vs 0.283 勝過十條大致吻合）。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【重點：誠實+限定+一個銳利命中數字】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