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標楷體"/>
          <w:b/>
          <w:sz w:val="30"/>
        </w:rPr>
        <w:t>討論表規劃</w:t>
      </w:r>
    </w:p>
    <w:p>
      <w:r>
        <w:rPr>
          <w:rFonts w:ascii="Times New Roman" w:hAnsi="Times New Roman" w:eastAsia="標楷體"/>
          <w:b w:val="0"/>
          <w:color w:val="008040"/>
          <w:sz w:val="23"/>
        </w:rPr>
        <w:t>表5</w:t>
      </w:r>
      <w:r>
        <w:rPr>
          <w:rFonts w:ascii="Times New Roman" w:hAnsi="Times New Roman" w:eastAsia="標楷體"/>
          <w:b w:val="0"/>
          <w:sz w:val="23"/>
        </w:rPr>
        <w:t xml:space="preserve"> 單向 vs 雙向逐階段對照＋QA gates 摘要（審稿防禦表）。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【重點：gates 表=可信度武器】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