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VerseVADKicker"/>
        <w:jc w:val="center"/>
      </w:pPr>
      <w:r>
        <w:t>VERSEVAD TRAINING PATHWAY · ANALYST LEVEL 1</w:t>
      </w:r>
    </w:p>
    <w:p>
      <w:pPr>
        <w:pStyle w:val="Title"/>
        <w:jc w:val="center"/>
      </w:pPr>
      <w:r>
        <w:t>Computational Close Reading with VerseVAD</w:t>
      </w:r>
    </w:p>
    <w:p>
      <w:pPr>
        <w:pStyle w:val="Subtitle"/>
        <w:jc w:val="center"/>
      </w:pPr>
      <w:r>
        <w:t>VerseVAD-Assisted Computational Close Reading</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Rust-colored separator beneath the training title."/>
      </w:tblPr>
      <w:tblGrid>
        <w:gridCol w:w="9360"/>
      </w:tblGrid>
      <w:t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Training document metadata"/>
        <w:tblDescription w:val="Purpose, study time, prerequisite, versions, preparation date, and private distribution status."/>
      </w:tblPr>
      <w:tblGrid>
        <w:gridCol w:w="4680"/>
        <w:gridCol w:w="4680"/>
      </w:tblGrid>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PURPOSE</w:t>
            </w:r>
          </w:p>
        </w:tc>
        <w:tc>
          <w:tcPr>
            <w:tcW w:type="dxa" w:w="4800"/>
            <w:tcMar>
              <w:top w:w="65" w:type="dxa"/>
              <w:start w:w="100" w:type="dxa"/>
              <w:bottom w:w="65" w:type="dxa"/>
              <w:end w:w="100" w:type="dxa"/>
            </w:tcMar>
            <w:vAlign w:val="center"/>
          </w:tcPr>
          <w:p>
            <w:pPr>
              <w:spacing w:after="0"/>
            </w:pPr>
            <w:r>
              <w:rPr>
                <w:sz w:val="18"/>
              </w:rPr>
              <w:t>Applied performance assessment for VerseVAD Analyst — Level 1 course</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ESTIMATED STUDY</w:t>
            </w:r>
          </w:p>
        </w:tc>
        <w:tc>
          <w:tcPr>
            <w:tcW w:type="dxa" w:w="4800"/>
            <w:tcMar>
              <w:top w:w="65" w:type="dxa"/>
              <w:start w:w="100" w:type="dxa"/>
              <w:bottom w:w="65" w:type="dxa"/>
              <w:end w:w="100" w:type="dxa"/>
            </w:tcMar>
            <w:vAlign w:val="center"/>
          </w:tcPr>
          <w:p>
            <w:pPr>
              <w:spacing w:after="0"/>
            </w:pPr>
            <w:r>
              <w:rPr>
                <w:sz w:val="18"/>
              </w:rPr>
              <w:t>12–20 hours</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PREREQUISITE</w:t>
            </w:r>
          </w:p>
        </w:tc>
        <w:tc>
          <w:tcPr>
            <w:tcW w:type="dxa" w:w="4800"/>
            <w:tcMar>
              <w:top w:w="65" w:type="dxa"/>
              <w:start w:w="100" w:type="dxa"/>
              <w:bottom w:w="65" w:type="dxa"/>
              <w:end w:w="100" w:type="dxa"/>
            </w:tcMar>
            <w:vAlign w:val="center"/>
          </w:tcPr>
          <w:p>
            <w:pPr>
              <w:spacing w:after="0"/>
            </w:pPr>
            <w:r>
              <w:rPr>
                <w:sz w:val="18"/>
              </w:rPr>
              <w:t>VerseVAD Foundations or equivalent demonstrated competence</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TRAINING VERSION</w:t>
            </w:r>
          </w:p>
        </w:tc>
        <w:tc>
          <w:tcPr>
            <w:tcW w:type="dxa" w:w="4800"/>
            <w:tcMar>
              <w:top w:w="65" w:type="dxa"/>
              <w:start w:w="100" w:type="dxa"/>
              <w:bottom w:w="65" w:type="dxa"/>
              <w:end w:w="100" w:type="dxa"/>
            </w:tcMar>
            <w:vAlign w:val="center"/>
          </w:tcPr>
          <w:p>
            <w:pPr>
              <w:spacing w:after="0"/>
            </w:pPr>
            <w:r>
              <w:rPr>
                <w:sz w:val="18"/>
              </w:rPr>
              <w:t>1.0 — Free Course Edition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SOFTWARE BASIS</w:t>
            </w:r>
          </w:p>
        </w:tc>
        <w:tc>
          <w:tcPr>
            <w:tcW w:type="dxa" w:w="4800"/>
            <w:tcMar>
              <w:top w:w="65" w:type="dxa"/>
              <w:start w:w="100" w:type="dxa"/>
              <w:bottom w:w="65" w:type="dxa"/>
              <w:end w:w="100" w:type="dxa"/>
            </w:tcMar>
            <w:vAlign w:val="center"/>
          </w:tcPr>
          <w:p>
            <w:pPr>
              <w:spacing w:after="0"/>
            </w:pPr>
            <w:r>
              <w:rPr>
                <w:sz w:val="18"/>
              </w:rPr>
              <w:t>VerseVAD 1.0.0 · implementation a7d93c6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PREPARED</w:t>
            </w:r>
          </w:p>
        </w:tc>
        <w:tc>
          <w:tcPr>
            <w:tcW w:type="dxa" w:w="4800"/>
            <w:tcMar>
              <w:top w:w="65" w:type="dxa"/>
              <w:start w:w="100" w:type="dxa"/>
              <w:bottom w:w="65" w:type="dxa"/>
              <w:end w:w="100" w:type="dxa"/>
            </w:tcMar>
            <w:vAlign w:val="center"/>
          </w:tcPr>
          <w:p>
            <w:pPr>
              <w:spacing w:after="0"/>
            </w:pPr>
            <w:r>
              <w:rPr>
                <w:sz w:val="18"/>
              </w:rPr>
              <w:t>August 1, 2026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DISTRIBUTION</w:t>
            </w:r>
          </w:p>
        </w:tc>
        <w:tc>
          <w:tcPr>
            <w:tcW w:type="dxa" w:w="4800"/>
            <w:tcMar>
              <w:top w:w="65" w:type="dxa"/>
              <w:start w:w="100" w:type="dxa"/>
              <w:bottom w:w="65" w:type="dxa"/>
              <w:end w:w="100" w:type="dxa"/>
            </w:tcMar>
            <w:vAlign w:val="center"/>
          </w:tcPr>
          <w:p>
            <w:pPr>
              <w:spacing w:after="0"/>
            </w:pPr>
            <w:r>
              <w:rPr>
                <w:sz w:val="18"/>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Private Training Material / Not for Public Distribution"/>
      </w:tblPr>
      <w:tblGrid>
        <w:gridCol w:w="9360"/>
      </w:tblGrid>
      <w:tr>
        <w:tc>
          <w:tcPr>
            <w:tcW w:type="dxa" w:w="9360"/>
            <w:shd w:fill="F4E9E3"/>
            <w:tcMar>
              <w:top w:w="140" w:type="dxa"/>
              <w:start w:w="170" w:type="dxa"/>
              <w:bottom w:w="140" w:type="dxa"/>
              <w:end w:w="170" w:type="dxa"/>
            </w:tcMar>
          </w:tcPr>
          <w:p>
            <w:pPr>
              <w:spacing w:after="0"/>
            </w:pPr>
            <w:r>
              <w:rPr>
                <w:b/>
                <w:color w:val="8A3B20"/>
              </w:rPr>
              <w:t>Free VerseVAD Training Material</w:t>
            </w:r>
          </w:p>
        </w:tc>
      </w:tr>
    </w:tbl>
    <w:p>
      <w:r/>
    </w:p>
    <w:p>
      <w:pPr>
        <w:pStyle w:val="Heading1"/>
      </w:pPr>
      <w:r>
        <w:t>Contents and Course Map</w:t>
      </w:r>
    </w:p>
    <w:p>
      <w:r>
        <w:rPr>
          <w:i/>
          <w:color w:val="5E6B75"/>
          <w:sz w:val="18"/>
        </w:rPr>
        <w:t>Use Word's Navigation pane to move among structured headings. This field-free map renders consistently across Word installations.</w:t>
      </w:r>
    </w:p>
    <w:p>
      <w:pPr>
        <w:spacing w:after="80"/>
      </w:pPr>
      <w:r>
        <w:rPr>
          <w:b/>
          <w:color w:val="1F4D78"/>
        </w:rPr>
        <w:t>Course Orientation</w:t>
      </w:r>
    </w:p>
    <w:p>
      <w:pPr>
        <w:spacing w:after="80"/>
      </w:pPr>
      <w:r>
        <w:rPr>
          <w:b/>
          <w:color w:val="1F4D78"/>
        </w:rPr>
        <w:t>Purpose</w:t>
      </w:r>
    </w:p>
    <w:p>
      <w:pPr>
        <w:spacing w:after="80"/>
      </w:pPr>
      <w:r>
        <w:rPr>
          <w:b/>
          <w:color w:val="1F4D78"/>
        </w:rPr>
        <w:t>Assignment at a Glance</w:t>
      </w:r>
    </w:p>
    <w:p>
      <w:pPr>
        <w:spacing w:after="80"/>
      </w:pPr>
      <w:r>
        <w:rPr>
          <w:b/>
          <w:color w:val="1F4D78"/>
        </w:rPr>
        <w:t>Required Workflow</w:t>
      </w:r>
    </w:p>
    <w:p>
      <w:pPr>
        <w:spacing w:after="80"/>
      </w:pPr>
      <w:r>
        <w:rPr>
          <w:b/>
          <w:color w:val="1F4D78"/>
        </w:rPr>
        <w:t>Submission Specifications</w:t>
      </w:r>
    </w:p>
    <w:p>
      <w:pPr>
        <w:spacing w:after="80"/>
      </w:pPr>
      <w:r>
        <w:rPr>
          <w:b/>
          <w:color w:val="1F4D78"/>
        </w:rPr>
        <w:t>Templates and Checklists</w:t>
      </w:r>
    </w:p>
    <w:p>
      <w:pPr>
        <w:spacing w:after="80"/>
      </w:pPr>
      <w:r>
        <w:rPr>
          <w:b/>
          <w:color w:val="1F4D78"/>
        </w:rPr>
        <w:t>Integrity and Privacy</w:t>
      </w:r>
    </w:p>
    <w:p>
      <w:pPr>
        <w:pStyle w:val="Heading1"/>
      </w:pPr>
      <w:r>
        <w:t>Purpose</w:t>
      </w:r>
    </w:p>
    <w:p>
      <w:r>
        <w:t>This assignment requires actual VerseVAD use and an auditable interpretive or instructional product. It assesses whether the learner can select a method, operate the software, inspect evidence, make a restrained claim, and preserve reproducibility. A polished essay or lesson cannot compensate for fabricated, incompatible, unauthorized, or methodologically misrepresented evidence.</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The assignment does not authorize distribution of third-party lexicons, copyrighted texts, private poems, databases, notes, or evaluator materials."/>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The assignment does not authorize distribution of third-party lexicons, copyrighted texts, private poems, databases, notes, or evaluator materials.</w:t>
            </w:r>
          </w:p>
        </w:tc>
      </w:tr>
    </w:tbl>
    <w:p>
      <w:pPr>
        <w:spacing w:after="0"/>
      </w:pPr>
    </w:p>
    <w:p>
      <w:pPr>
        <w:pStyle w:val="Heading1"/>
      </w:pPr>
      <w:r>
        <w:t>Assignment at a Glance</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Applied assignment at a glance"/>
        <w:tblDescription w:val="Scope, length, text or corpus, software version, scoring, and credential boundary."/>
      </w:tblPr>
      <w:tblGrid>
        <w:gridCol w:w="4680"/>
        <w:gridCol w:w="4680"/>
      </w:tblGrid>
      <w:tr>
        <w:trPr>
          <w:cantSplit/>
          <w:trHeight w:hRule="atLeast"/>
          <w:tblHeader w:val="true"/>
        </w:trPr>
        <w:tc>
          <w:tcPr>
            <w:tcW w:type="dxa" w:w="2300"/>
            <w:tcMar>
              <w:top w:w="75" w:type="dxa"/>
              <w:start w:w="100" w:type="dxa"/>
              <w:bottom w:w="75" w:type="dxa"/>
              <w:end w:w="100" w:type="dxa"/>
            </w:tcMar>
            <w:vAlign w:val="center"/>
            <w:shd w:fill="E8EEF5"/>
          </w:tcPr>
          <w:p>
            <w:pPr>
              <w:spacing w:after="0" w:line="264" w:lineRule="auto"/>
            </w:pPr>
            <w:r>
              <w:rPr>
                <w:b/>
                <w:color w:val="1F4D78"/>
                <w:sz w:val="17"/>
              </w:rPr>
              <w:t>Element</w:t>
            </w:r>
          </w:p>
        </w:tc>
        <w:tc>
          <w:tcPr>
            <w:tcW w:type="dxa" w:w="7060"/>
            <w:tcMar>
              <w:top w:w="75" w:type="dxa"/>
              <w:start w:w="100" w:type="dxa"/>
              <w:bottom w:w="75" w:type="dxa"/>
              <w:end w:w="100" w:type="dxa"/>
            </w:tcMar>
            <w:vAlign w:val="center"/>
            <w:shd w:fill="E8EEF5"/>
          </w:tcPr>
          <w:p>
            <w:pPr>
              <w:spacing w:after="0" w:line="264" w:lineRule="auto"/>
            </w:pPr>
            <w:r>
              <w:rPr>
                <w:b/>
                <w:color w:val="1F4D78"/>
                <w:sz w:val="17"/>
              </w:rPr>
              <w:t>Requirement</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Title</w:t>
            </w:r>
          </w:p>
        </w:tc>
        <w:tc>
          <w:tcPr>
            <w:tcW w:type="dxa" w:w="7060"/>
            <w:tcMar>
              <w:top w:w="75" w:type="dxa"/>
              <w:start w:w="100" w:type="dxa"/>
              <w:bottom w:w="75" w:type="dxa"/>
              <w:end w:w="100" w:type="dxa"/>
            </w:tcMar>
            <w:vAlign w:val="center"/>
          </w:tcPr>
          <w:p>
            <w:pPr>
              <w:spacing w:after="0" w:line="264" w:lineRule="auto"/>
            </w:pPr>
            <w:r>
              <w:rPr>
                <w:sz w:val="17"/>
              </w:rPr>
              <w:t>VerseVAD-Assisted Computational Close Reading</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Length / performance</w:t>
            </w:r>
          </w:p>
        </w:tc>
        <w:tc>
          <w:tcPr>
            <w:tcW w:type="dxa" w:w="7060"/>
            <w:tcMar>
              <w:top w:w="75" w:type="dxa"/>
              <w:start w:w="100" w:type="dxa"/>
              <w:bottom w:w="75" w:type="dxa"/>
              <w:end w:w="100" w:type="dxa"/>
            </w:tcMar>
            <w:vAlign w:val="center"/>
          </w:tcPr>
          <w:p>
            <w:pPr>
              <w:spacing w:after="0" w:line="264" w:lineRule="auto"/>
            </w:pPr>
            <w:r>
              <w:rPr>
                <w:sz w:val="17"/>
              </w:rPr>
              <w:t>1,500–2,200 words plus method/evidence appendix</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Text or corpus</w:t>
            </w:r>
          </w:p>
        </w:tc>
        <w:tc>
          <w:tcPr>
            <w:tcW w:type="dxa" w:w="7060"/>
            <w:tcMar>
              <w:top w:w="75" w:type="dxa"/>
              <w:start w:w="100" w:type="dxa"/>
              <w:bottom w:w="75" w:type="dxa"/>
              <w:end w:w="100" w:type="dxa"/>
            </w:tcMar>
            <w:vAlign w:val="center"/>
          </w:tcPr>
          <w:p>
            <w:pPr>
              <w:spacing w:after="0" w:line="264" w:lineRule="auto"/>
            </w:pPr>
            <w:r>
              <w:rPr>
                <w:sz w:val="17"/>
              </w:rPr>
              <w:t>One owner-approved public-domain poem, with an optional second public-domain poem for a controlled comparison</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Software basis</w:t>
            </w:r>
          </w:p>
        </w:tc>
        <w:tc>
          <w:tcPr>
            <w:tcW w:type="dxa" w:w="7060"/>
            <w:tcMar>
              <w:top w:w="75" w:type="dxa"/>
              <w:start w:w="100" w:type="dxa"/>
              <w:bottom w:w="75" w:type="dxa"/>
              <w:end w:w="100" w:type="dxa"/>
            </w:tcMar>
            <w:vAlign w:val="center"/>
          </w:tcPr>
          <w:p>
            <w:pPr>
              <w:spacing w:after="0" w:line="264" w:lineRule="auto"/>
            </w:pPr>
            <w:r>
              <w:rPr>
                <w:sz w:val="17"/>
              </w:rPr>
              <w:t>VerseVAD 1.0.0, implementation a7d93c6</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Scoring</w:t>
            </w:r>
          </w:p>
        </w:tc>
        <w:tc>
          <w:tcPr>
            <w:tcW w:type="dxa" w:w="7060"/>
            <w:tcMar>
              <w:top w:w="75" w:type="dxa"/>
              <w:start w:w="100" w:type="dxa"/>
              <w:bottom w:w="75" w:type="dxa"/>
              <w:end w:w="100" w:type="dxa"/>
            </w:tcMar>
            <w:vAlign w:val="center"/>
          </w:tcPr>
          <w:p>
            <w:pPr>
              <w:spacing w:after="0" w:line="264" w:lineRule="auto"/>
            </w:pPr>
            <w:r>
              <w:rPr>
                <w:sz w:val="17"/>
              </w:rPr>
              <w:t>Separate 100-point analytic rubric; critical-error review applies</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Credential boundary</w:t>
            </w:r>
          </w:p>
        </w:tc>
        <w:tc>
          <w:tcPr>
            <w:tcW w:type="dxa" w:w="7060"/>
            <w:tcMar>
              <w:top w:w="75" w:type="dxa"/>
              <w:start w:w="100" w:type="dxa"/>
              <w:bottom w:w="75" w:type="dxa"/>
              <w:end w:w="100" w:type="dxa"/>
            </w:tcMar>
            <w:vAlign w:val="center"/>
          </w:tcPr>
          <w:p>
            <w:pPr>
              <w:spacing w:after="0" w:line="264" w:lineRule="auto"/>
            </w:pPr>
            <w:r>
              <w:rPr>
                <w:sz w:val="17"/>
              </w:rPr>
              <w:t>Submission supports owner-approved evaluation but does not generate a certificate or authorization</w:t>
            </w:r>
          </w:p>
        </w:tc>
      </w:tr>
    </w:tbl>
    <w:p>
      <w:pPr>
        <w:pStyle w:val="Heading1"/>
      </w:pPr>
      <w:r>
        <w:t>Required Deliverables</w:t>
      </w:r>
    </w:p>
    <w:p>
      <w:pPr>
        <w:pStyle w:val="ListBullet"/>
      </w:pPr>
      <w:r>
        <w:t>Research question and interpretive hypothesis</w:t>
      </w:r>
    </w:p>
    <w:p>
      <w:pPr>
        <w:pStyle w:val="ListBullet"/>
      </w:pPr>
      <w:r>
        <w:t>Source and text-integrity note</w:t>
      </w:r>
    </w:p>
    <w:p>
      <w:pPr>
        <w:pStyle w:val="ListBullet"/>
      </w:pPr>
      <w:r>
        <w:t>Saved or exported VerseVAD analysis with named profile and settings</w:t>
      </w:r>
    </w:p>
    <w:p>
      <w:pPr>
        <w:pStyle w:val="ListBullet"/>
      </w:pPr>
      <w:r>
        <w:t>Coverage and evidence audit</w:t>
      </w:r>
    </w:p>
    <w:p>
      <w:pPr>
        <w:pStyle w:val="ListBullet"/>
      </w:pPr>
      <w:r>
        <w:t>Analysis using at least five justified metric families, including one distribution or trajectory measure</w:t>
      </w:r>
    </w:p>
    <w:p>
      <w:pPr>
        <w:pStyle w:val="ListBullet"/>
      </w:pPr>
      <w:r>
        <w:t>Pronunciation review if sound evidence is used</w:t>
      </w:r>
    </w:p>
    <w:p>
      <w:pPr>
        <w:pStyle w:val="ListBullet"/>
      </w:pPr>
      <w:r>
        <w:t>At least one result that complicates the initial reading</w:t>
      </w:r>
    </w:p>
    <w:p>
      <w:pPr>
        <w:pStyle w:val="ListBullet"/>
      </w:pPr>
      <w:r>
        <w:t>Close readings of at least two passages</w:t>
      </w:r>
    </w:p>
    <w:p>
      <w:pPr>
        <w:pStyle w:val="ListBullet"/>
      </w:pPr>
      <w:r>
        <w:t>Limitations and reproducibility appendix</w:t>
      </w:r>
    </w:p>
    <w:p>
      <w:pPr>
        <w:pStyle w:val="Heading1"/>
      </w:pPr>
      <w:r>
        <w:t>Required Workflow</w:t>
      </w:r>
    </w:p>
    <w:p>
      <w:pPr>
        <w:pStyle w:val="Heading2"/>
      </w:pPr>
      <w:r>
        <w:t>Part A · Planning and source control</w:t>
      </w:r>
    </w:p>
    <w:p>
      <w:pPr>
        <w:pStyle w:val="ListNumber"/>
      </w:pPr>
      <w:r>
        <w:t>State the scholarly or instructional question and the unit of analysis.</w:t>
      </w:r>
    </w:p>
    <w:p>
      <w:pPr>
        <w:pStyle w:val="ListNumber"/>
      </w:pPr>
      <w:r>
        <w:t>Verify rights, source identity, edition, text integrity, and metadata.</w:t>
      </w:r>
    </w:p>
    <w:p>
      <w:pPr>
        <w:pStyle w:val="ListNumber"/>
      </w:pPr>
      <w:r>
        <w:t>Write the intended metric or teaching evidence before inspecting results.</w:t>
      </w:r>
    </w:p>
    <w:p>
      <w:pPr>
        <w:pStyle w:val="ListNumber"/>
      </w:pPr>
      <w:r>
        <w:t>Record an alternative explanation and a condition that would require revision.</w:t>
      </w:r>
    </w:p>
    <w:p>
      <w:pPr>
        <w:pStyle w:val="Heading2"/>
      </w:pPr>
      <w:r>
        <w:t>Part B · Practical software validation</w:t>
      </w:r>
    </w:p>
    <w:p>
      <w:pPr>
        <w:pStyle w:val="ListNumber"/>
      </w:pPr>
      <w:r>
        <w:t>Open Analyze → Single Poem or Compare Poems and load the approved source text without altering lineation.</w:t>
      </w:r>
    </w:p>
    <w:p>
      <w:pPr>
        <w:pStyle w:val="ListNumber"/>
      </w:pPr>
      <w:r>
        <w:t>Apply a built-in profile, then document every customization before analysis.</w:t>
      </w:r>
    </w:p>
    <w:p>
      <w:pPr>
        <w:pStyle w:val="ListNumber"/>
      </w:pPr>
      <w:r>
        <w:t>Run the analysis and locate Overview, at least three report families, Evidence &amp; Diagnostics, and Export &amp; Help.</w:t>
      </w:r>
    </w:p>
    <w:p>
      <w:pPr>
        <w:pStyle w:val="ListNumber"/>
      </w:pPr>
      <w:r>
        <w:t>Demonstrate one weighting or stopword sensitivity comparison under matched settings.</w:t>
      </w:r>
    </w:p>
    <w:p>
      <w:pPr>
        <w:pStyle w:val="ListNumber"/>
      </w:pPr>
      <w:r>
        <w:t>If sound evidence is used, review unresolved pronunciation and reanalyze.</w:t>
      </w:r>
    </w:p>
    <w:p>
      <w:pPr>
        <w:pStyle w:val="ListNumber"/>
      </w:pPr>
      <w:r>
        <w:t>Prepare the narrative report and statistical or audit export without exposing private notes by default.</w:t>
      </w:r>
    </w:p>
    <w:p>
      <w:pPr>
        <w:pStyle w:val="Heading2"/>
      </w:pPr>
      <w:r>
        <w:t>Part C · Evidence audit and synthesis</w:t>
      </w:r>
    </w:p>
    <w:p>
      <w:pPr>
        <w:pStyle w:val="ListNumber"/>
      </w:pPr>
      <w:r>
        <w:t>Record eligible counts, matched counts, coverage, warnings, resource versions, and unresolved evidence.</w:t>
      </w:r>
    </w:p>
    <w:p>
      <w:pPr>
        <w:pStyle w:val="ListNumber"/>
      </w:pPr>
      <w:r>
        <w:t>Identify at least one result that supports the starting hypothesis and one that complicates, redirects, or weakens it.</w:t>
      </w:r>
    </w:p>
    <w:p>
      <w:pPr>
        <w:pStyle w:val="ListNumber"/>
      </w:pPr>
      <w:r>
        <w:t>Return to passages, poems, or learner responses selected through a transparent criterion.</w:t>
      </w:r>
    </w:p>
    <w:p>
      <w:pPr>
        <w:pStyle w:val="ListNumber"/>
      </w:pPr>
      <w:r>
        <w:t>Revise the claim so its scope matches the evidence and its limitations.</w:t>
      </w:r>
    </w:p>
    <w:p>
      <w:pPr>
        <w:pStyle w:val="Heading2"/>
      </w:pPr>
      <w:r>
        <w:t>Part D · Reproducibility and submission</w:t>
      </w:r>
    </w:p>
    <w:p>
      <w:pPr>
        <w:pStyle w:val="ListNumber"/>
      </w:pPr>
      <w:r>
        <w:t>Prepare a concise methods statement naming software, resources, profile, settings, weighting, stopwords, versions, and storage mode.</w:t>
      </w:r>
    </w:p>
    <w:p>
      <w:pPr>
        <w:pStyle w:val="ListNumber"/>
      </w:pPr>
      <w:r>
        <w:t>Attach the narrative deliverable and the minimum statistical or audit evidence needed for evaluation.</w:t>
      </w:r>
    </w:p>
    <w:p>
      <w:pPr>
        <w:pStyle w:val="ListNumber"/>
      </w:pPr>
      <w:r>
        <w:t>Exclude research notes unless deliberately selected and authorized for evaluator review.</w:t>
      </w:r>
    </w:p>
    <w:p>
      <w:pPr>
        <w:pStyle w:val="ListNumber"/>
      </w:pPr>
      <w:r>
        <w:t>Verify that no licensed, copyrighted, private, or evaluator-only material is placed in public source control.</w:t>
      </w:r>
    </w:p>
    <w:p>
      <w:pPr>
        <w:pStyle w:val="Heading1"/>
      </w:pPr>
      <w:r>
        <w:t>Submission Specifications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Applied assignment submission package"/>
        <w:tblDescription w:val="Required files, contents, and privacy handling."/>
      </w:tblPr>
      <w:tblGrid>
        <w:gridCol w:w="3120"/>
        <w:gridCol w:w="3120"/>
        <w:gridCol w:w="3120"/>
      </w:tblGrid>
      <w:tr>
        <w:trPr>
          <w:cantSplit/>
          <w:trHeight w:hRule="atLeast"/>
          <w:tblHeader w:val="true"/>
        </w:trPr>
        <w:tc>
          <w:tcPr>
            <w:tcW w:type="dxa" w:w="2300"/>
            <w:tcMar>
              <w:top w:w="75" w:type="dxa"/>
              <w:start w:w="100" w:type="dxa"/>
              <w:bottom w:w="75" w:type="dxa"/>
              <w:end w:w="100" w:type="dxa"/>
            </w:tcMar>
            <w:vAlign w:val="center"/>
            <w:shd w:fill="E8EEF5"/>
          </w:tcPr>
          <w:p>
            <w:pPr>
              <w:spacing w:after="0" w:line="264" w:lineRule="auto"/>
            </w:pPr>
            <w:r>
              <w:rPr>
                <w:b/>
                <w:color w:val="1F4D78"/>
                <w:sz w:val="17"/>
              </w:rPr>
              <w:t>File</w:t>
            </w:r>
          </w:p>
        </w:tc>
        <w:tc>
          <w:tcPr>
            <w:tcW w:type="dxa" w:w="4360"/>
            <w:tcMar>
              <w:top w:w="75" w:type="dxa"/>
              <w:start w:w="100" w:type="dxa"/>
              <w:bottom w:w="75" w:type="dxa"/>
              <w:end w:w="100" w:type="dxa"/>
            </w:tcMar>
            <w:vAlign w:val="center"/>
            <w:shd w:fill="E8EEF5"/>
          </w:tcPr>
          <w:p>
            <w:pPr>
              <w:spacing w:after="0" w:line="264" w:lineRule="auto"/>
            </w:pPr>
            <w:r>
              <w:rPr>
                <w:b/>
                <w:color w:val="1F4D78"/>
                <w:sz w:val="17"/>
              </w:rPr>
              <w:t>Required contents</w:t>
            </w:r>
          </w:p>
        </w:tc>
        <w:tc>
          <w:tcPr>
            <w:tcW w:type="dxa" w:w="2700"/>
            <w:tcMar>
              <w:top w:w="75" w:type="dxa"/>
              <w:start w:w="100" w:type="dxa"/>
              <w:bottom w:w="75" w:type="dxa"/>
              <w:end w:w="100" w:type="dxa"/>
            </w:tcMar>
            <w:vAlign w:val="center"/>
            <w:shd w:fill="E8EEF5"/>
          </w:tcPr>
          <w:p>
            <w:pPr>
              <w:spacing w:after="0" w:line="264" w:lineRule="auto"/>
            </w:pPr>
            <w:r>
              <w:rPr>
                <w:b/>
                <w:color w:val="1F4D78"/>
                <w:sz w:val="17"/>
              </w:rPr>
              <w:t>Privacy</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01_primary.docx or .pdf</w:t>
            </w:r>
          </w:p>
        </w:tc>
        <w:tc>
          <w:tcPr>
            <w:tcW w:type="dxa" w:w="4360"/>
            <w:tcMar>
              <w:top w:w="75" w:type="dxa"/>
              <w:start w:w="100" w:type="dxa"/>
              <w:bottom w:w="75" w:type="dxa"/>
              <w:end w:w="100" w:type="dxa"/>
            </w:tcMar>
            <w:vAlign w:val="center"/>
          </w:tcPr>
          <w:p>
            <w:pPr>
              <w:spacing w:after="0" w:line="264" w:lineRule="auto"/>
            </w:pPr>
            <w:r>
              <w:rPr>
                <w:sz w:val="17"/>
              </w:rPr>
              <w:t>Main analysis, corpus report, or instructional portfolio</w:t>
            </w:r>
          </w:p>
        </w:tc>
        <w:tc>
          <w:tcPr>
            <w:tcW w:type="dxa" w:w="2700"/>
            <w:tcMar>
              <w:top w:w="75" w:type="dxa"/>
              <w:start w:w="100" w:type="dxa"/>
              <w:bottom w:w="75" w:type="dxa"/>
              <w:end w:w="100" w:type="dxa"/>
            </w:tcMar>
            <w:vAlign w:val="center"/>
          </w:tcPr>
          <w:p>
            <w:pPr>
              <w:spacing w:after="0" w:line="264" w:lineRule="auto"/>
            </w:pPr>
            <w:r>
              <w:rPr>
                <w:sz w:val="17"/>
              </w:rPr>
              <w:t>Use a private candidate ID if required</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02_methods.md or .docx</w:t>
            </w:r>
          </w:p>
        </w:tc>
        <w:tc>
          <w:tcPr>
            <w:tcW w:type="dxa" w:w="4360"/>
            <w:tcMar>
              <w:top w:w="75" w:type="dxa"/>
              <w:start w:w="100" w:type="dxa"/>
              <w:bottom w:w="75" w:type="dxa"/>
              <w:end w:w="100" w:type="dxa"/>
            </w:tcMar>
            <w:vAlign w:val="center"/>
          </w:tcPr>
          <w:p>
            <w:pPr>
              <w:spacing w:after="0" w:line="264" w:lineRule="auto"/>
            </w:pPr>
            <w:r>
              <w:rPr>
                <w:sz w:val="17"/>
              </w:rPr>
              <w:t>Question, text/corpus protocol, settings, versions, coverage, and limitations</w:t>
            </w:r>
          </w:p>
        </w:tc>
        <w:tc>
          <w:tcPr>
            <w:tcW w:type="dxa" w:w="2700"/>
            <w:tcMar>
              <w:top w:w="75" w:type="dxa"/>
              <w:start w:w="100" w:type="dxa"/>
              <w:bottom w:w="75" w:type="dxa"/>
              <w:end w:w="100" w:type="dxa"/>
            </w:tcMar>
            <w:vAlign w:val="center"/>
          </w:tcPr>
          <w:p>
            <w:pPr>
              <w:spacing w:after="0" w:line="264" w:lineRule="auto"/>
            </w:pPr>
            <w:r>
              <w:rPr>
                <w:sz w:val="17"/>
              </w:rPr>
              <w:t>Do not embed licensed resource files</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03_evidence.zip</w:t>
            </w:r>
          </w:p>
        </w:tc>
        <w:tc>
          <w:tcPr>
            <w:tcW w:type="dxa" w:w="4360"/>
            <w:tcMar>
              <w:top w:w="75" w:type="dxa"/>
              <w:start w:w="100" w:type="dxa"/>
              <w:bottom w:w="75" w:type="dxa"/>
              <w:end w:w="100" w:type="dxa"/>
            </w:tcMar>
            <w:vAlign w:val="center"/>
          </w:tcPr>
          <w:p>
            <w:pPr>
              <w:spacing w:after="0" w:line="264" w:lineRule="auto"/>
            </w:pPr>
            <w:r>
              <w:rPr>
                <w:sz w:val="17"/>
              </w:rPr>
              <w:t>Selected VerseVAD CSV/DOCX/audit artifacts required for scoring</w:t>
            </w:r>
          </w:p>
        </w:tc>
        <w:tc>
          <w:tcPr>
            <w:tcW w:type="dxa" w:w="2700"/>
            <w:tcMar>
              <w:top w:w="75" w:type="dxa"/>
              <w:start w:w="100" w:type="dxa"/>
              <w:bottom w:w="75" w:type="dxa"/>
              <w:end w:w="100" w:type="dxa"/>
            </w:tcMar>
            <w:vAlign w:val="center"/>
          </w:tcPr>
          <w:p>
            <w:pPr>
              <w:spacing w:after="0" w:line="264" w:lineRule="auto"/>
            </w:pPr>
            <w:r>
              <w:rPr>
                <w:sz w:val="17"/>
              </w:rPr>
              <w:t>Review source text and note inclusion before sharing</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04_manifest.csv</w:t>
            </w:r>
          </w:p>
        </w:tc>
        <w:tc>
          <w:tcPr>
            <w:tcW w:type="dxa" w:w="4360"/>
            <w:tcMar>
              <w:top w:w="75" w:type="dxa"/>
              <w:start w:w="100" w:type="dxa"/>
              <w:bottom w:w="75" w:type="dxa"/>
              <w:end w:w="100" w:type="dxa"/>
            </w:tcMar>
            <w:vAlign w:val="center"/>
          </w:tcPr>
          <w:p>
            <w:pPr>
              <w:spacing w:after="0" w:line="264" w:lineRule="auto"/>
            </w:pPr>
            <w:r>
              <w:rPr>
                <w:sz w:val="17"/>
              </w:rPr>
              <w:t>File names, roles, hashes or stable IDs, and source/rights notes</w:t>
            </w:r>
          </w:p>
        </w:tc>
        <w:tc>
          <w:tcPr>
            <w:tcW w:type="dxa" w:w="2700"/>
            <w:tcMar>
              <w:top w:w="75" w:type="dxa"/>
              <w:start w:w="100" w:type="dxa"/>
              <w:bottom w:w="75" w:type="dxa"/>
              <w:end w:w="100" w:type="dxa"/>
            </w:tcMar>
            <w:vAlign w:val="center"/>
          </w:tcPr>
          <w:p>
            <w:pPr>
              <w:spacing w:after="0" w:line="264" w:lineRule="auto"/>
            </w:pPr>
            <w:r>
              <w:rPr>
                <w:sz w:val="17"/>
              </w:rPr>
              <w:t>Store privately</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05_reflection.docx</w:t>
            </w:r>
          </w:p>
        </w:tc>
        <w:tc>
          <w:tcPr>
            <w:tcW w:type="dxa" w:w="4360"/>
            <w:tcMar>
              <w:top w:w="75" w:type="dxa"/>
              <w:start w:w="100" w:type="dxa"/>
              <w:bottom w:w="75" w:type="dxa"/>
              <w:end w:w="100" w:type="dxa"/>
            </w:tcMar>
            <w:vAlign w:val="center"/>
          </w:tcPr>
          <w:p>
            <w:pPr>
              <w:spacing w:after="0" w:line="264" w:lineRule="auto"/>
            </w:pPr>
            <w:r>
              <w:rPr>
                <w:sz w:val="17"/>
              </w:rPr>
              <w:t>Support, challenge, revision, limitation, and next method decision</w:t>
            </w:r>
          </w:p>
        </w:tc>
        <w:tc>
          <w:tcPr>
            <w:tcW w:type="dxa" w:w="2700"/>
            <w:tcMar>
              <w:top w:w="75" w:type="dxa"/>
              <w:start w:w="100" w:type="dxa"/>
              <w:bottom w:w="75" w:type="dxa"/>
              <w:end w:w="100" w:type="dxa"/>
            </w:tcMar>
            <w:vAlign w:val="center"/>
          </w:tcPr>
          <w:p>
            <w:pPr>
              <w:spacing w:after="0" w:line="264" w:lineRule="auto"/>
            </w:pPr>
            <w:r>
              <w:rPr>
                <w:sz w:val="17"/>
              </w:rPr>
              <w:t>May be evaluator-only</w:t>
            </w:r>
          </w:p>
        </w:tc>
      </w:tr>
    </w:tbl>
    <w:p>
      <w:pPr>
        <w:pStyle w:val="Heading1"/>
      </w:pPr>
      <w:r>
        <w:t>Templates and Checklists</w:t>
      </w:r>
    </w:p>
    <w:p>
      <w:pPr>
        <w:pStyle w:val="Heading2"/>
      </w:pPr>
      <w:r>
        <w:t>Methods statement template</w:t>
      </w:r>
    </w:p>
    <w:p>
      <w:r>
        <w:t>This study used **VerseVAD [version/commit]** to analyze **[text/corpus identity]** under **[profile]** with **[lexicons/resources]**. The active view used **[token/type weighting]**, **[all-matched/stopword-excluded]**, and **[relevant POS, threshold, pronunciation, or scenario settings]**. The primary result used **[eligible denominator]**, with **[matched count and coverage]**. **[Warnings/unresolved evidence]** limit the claim by **[consequence]**. Exports and private research records were stored at **[location]** under **[rights/privacy plan]**.</w:t>
      </w:r>
    </w:p>
    <w:p>
      <w:pPr>
        <w:pStyle w:val="Heading2"/>
      </w:pPr>
      <w:r>
        <w:t>Evidence-to-claim matrix</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Evidence-to-claim planning matrix"/>
        <w:tblDescription w:val="Blank worksheet connecting results, local evidence, limitations, and revised interpretation."/>
      </w:tblPr>
      <w:tblGrid>
        <w:gridCol w:w="1872"/>
        <w:gridCol w:w="1872"/>
        <w:gridCol w:w="1872"/>
        <w:gridCol w:w="1872"/>
        <w:gridCol w:w="1872"/>
      </w:tblGrid>
      <w:tr>
        <w:trPr>
          <w:cantSplit/>
          <w:trHeight w:hRule="atLeast"/>
          <w:tblHeader w:val="true"/>
        </w:trPr>
        <w:tc>
          <w:tcPr>
            <w:tcW w:type="dxa" w:w="1600"/>
            <w:tcMar>
              <w:top w:w="75" w:type="dxa"/>
              <w:start w:w="100" w:type="dxa"/>
              <w:bottom w:w="75" w:type="dxa"/>
              <w:end w:w="100" w:type="dxa"/>
            </w:tcMar>
            <w:vAlign w:val="center"/>
            <w:shd w:fill="E8EEF5"/>
          </w:tcPr>
          <w:p>
            <w:pPr>
              <w:spacing w:after="0" w:line="264" w:lineRule="auto"/>
            </w:pPr>
            <w:r>
              <w:rPr>
                <w:b/>
                <w:color w:val="1F4D78"/>
                <w:sz w:val="17"/>
              </w:rPr>
              <w:t>Claim component</w:t>
            </w:r>
          </w:p>
        </w:tc>
        <w:tc>
          <w:tcPr>
            <w:tcW w:type="dxa" w:w="1900"/>
            <w:tcMar>
              <w:top w:w="75" w:type="dxa"/>
              <w:start w:w="100" w:type="dxa"/>
              <w:bottom w:w="75" w:type="dxa"/>
              <w:end w:w="100" w:type="dxa"/>
            </w:tcMar>
            <w:vAlign w:val="center"/>
            <w:shd w:fill="E8EEF5"/>
          </w:tcPr>
          <w:p>
            <w:pPr>
              <w:spacing w:after="0" w:line="264" w:lineRule="auto"/>
            </w:pPr>
            <w:r>
              <w:rPr>
                <w:b/>
                <w:color w:val="1F4D78"/>
                <w:sz w:val="17"/>
              </w:rPr>
              <w:t>VerseVAD evidence</w:t>
            </w:r>
          </w:p>
        </w:tc>
        <w:tc>
          <w:tcPr>
            <w:tcW w:type="dxa" w:w="2100"/>
            <w:tcMar>
              <w:top w:w="75" w:type="dxa"/>
              <w:start w:w="100" w:type="dxa"/>
              <w:bottom w:w="75" w:type="dxa"/>
              <w:end w:w="100" w:type="dxa"/>
            </w:tcMar>
            <w:vAlign w:val="center"/>
            <w:shd w:fill="E8EEF5"/>
          </w:tcPr>
          <w:p>
            <w:pPr>
              <w:spacing w:after="0" w:line="264" w:lineRule="auto"/>
            </w:pPr>
            <w:r>
              <w:rPr>
                <w:b/>
                <w:color w:val="1F4D78"/>
                <w:sz w:val="17"/>
              </w:rPr>
              <w:t>Local text/work evidence</w:t>
            </w:r>
          </w:p>
        </w:tc>
        <w:tc>
          <w:tcPr>
            <w:tcW w:type="dxa" w:w="1900"/>
            <w:tcMar>
              <w:top w:w="75" w:type="dxa"/>
              <w:start w:w="100" w:type="dxa"/>
              <w:bottom w:w="75" w:type="dxa"/>
              <w:end w:w="100" w:type="dxa"/>
            </w:tcMar>
            <w:vAlign w:val="center"/>
            <w:shd w:fill="E8EEF5"/>
          </w:tcPr>
          <w:p>
            <w:pPr>
              <w:spacing w:after="0" w:line="264" w:lineRule="auto"/>
            </w:pPr>
            <w:r>
              <w:rPr>
                <w:b/>
                <w:color w:val="1F4D78"/>
                <w:sz w:val="17"/>
              </w:rPr>
              <w:t>Coverage or limitation</w:t>
            </w:r>
          </w:p>
        </w:tc>
        <w:tc>
          <w:tcPr>
            <w:tcW w:type="dxa" w:w="1860"/>
            <w:tcMar>
              <w:top w:w="75" w:type="dxa"/>
              <w:start w:w="100" w:type="dxa"/>
              <w:bottom w:w="75" w:type="dxa"/>
              <w:end w:w="100" w:type="dxa"/>
            </w:tcMar>
            <w:vAlign w:val="center"/>
            <w:shd w:fill="E8EEF5"/>
          </w:tcPr>
          <w:p>
            <w:pPr>
              <w:spacing w:after="0" w:line="264" w:lineRule="auto"/>
            </w:pPr>
            <w:r>
              <w:rPr>
                <w:b/>
                <w:color w:val="1F4D78"/>
                <w:sz w:val="17"/>
              </w:rPr>
              <w:t>Revision</w:t>
            </w: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Primary support</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Complication</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Alternative explanation</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bl>
    <w:p>
      <w:pPr>
        <w:pStyle w:val="Heading2"/>
      </w:pPr>
      <w:r>
        <w:t>Final submission checklist</w:t>
      </w:r>
    </w:p>
    <w:p>
      <w:pPr>
        <w:pStyle w:val="ListBullet"/>
      </w:pPr>
      <w:r>
        <w:t>The text or corpus source and rights are documented.</w:t>
      </w:r>
    </w:p>
    <w:p>
      <w:pPr>
        <w:pStyle w:val="ListBullet"/>
      </w:pPr>
      <w:r>
        <w:t>The analytical question and selected metrics are aligned.</w:t>
      </w:r>
    </w:p>
    <w:p>
      <w:pPr>
        <w:pStyle w:val="ListBullet"/>
      </w:pPr>
      <w:r>
        <w:t>Every comparison uses compatible settings or clearly explains why not.</w:t>
      </w:r>
    </w:p>
    <w:p>
      <w:pPr>
        <w:pStyle w:val="ListBullet"/>
      </w:pPr>
      <w:r>
        <w:t>Coverage, eligible counts, missingness, and warnings are reported.</w:t>
      </w:r>
    </w:p>
    <w:p>
      <w:pPr>
        <w:pStyle w:val="ListBullet"/>
      </w:pPr>
      <w:r>
        <w:t>At least one complicating result is interpreted.</w:t>
      </w:r>
    </w:p>
    <w:p>
      <w:pPr>
        <w:pStyle w:val="ListBullet"/>
      </w:pPr>
      <w:r>
        <w:t>Local textual or instructional evidence appears alongside aggregate results.</w:t>
      </w:r>
    </w:p>
    <w:p>
      <w:pPr>
        <w:pStyle w:val="ListBullet"/>
      </w:pPr>
      <w:r>
        <w:t>Methods and versions are sufficient for reconstruction.</w:t>
      </w:r>
    </w:p>
    <w:p>
      <w:pPr>
        <w:pStyle w:val="ListBullet"/>
      </w:pPr>
      <w:r>
        <w:t>Private notes and licensed resources are excluded unless explicitly authorized.</w:t>
      </w:r>
    </w:p>
    <w:p>
      <w:pPr>
        <w:pStyle w:val="ListBullet"/>
      </w:pPr>
      <w:r>
        <w:t>The rubric has been used for self-review.</w:t>
      </w:r>
    </w:p>
    <w:p>
      <w:pPr>
        <w:pStyle w:val="Heading1"/>
      </w:pPr>
      <w:r>
        <w:t>Integrity and Privacy</w:t>
      </w:r>
    </w:p>
    <w:p>
      <w:r>
        <w:t>Use complete public-domain poems only through lawful source access; cite rather than reproduce the full poem inside this public exercise. Do not submit texts or data that the evaluator is not authorized to receive. If an external statistical program is used, identify it and include the script or command record; do not describe external results as VerseVAD calculations.</w:t>
      </w:r>
    </w:p>
    <w:p>
      <w:pPr>
        <w:pStyle w:val="Heading2"/>
      </w:pPr>
      <w:r>
        <w:t>Automatic remediation triggers</w:t>
      </w:r>
    </w:p>
    <w:p>
      <w:pPr>
        <w:pStyle w:val="ListBullet"/>
      </w:pPr>
      <w:r>
        <w:t>Fabricating or silently altering source text or evidence</w:t>
      </w:r>
    </w:p>
    <w:p>
      <w:pPr>
        <w:pStyle w:val="ListBullet"/>
      </w:pPr>
      <w:r>
        <w:t>Treating missing evidence as zero or neutral</w:t>
      </w:r>
    </w:p>
    <w:p>
      <w:pPr>
        <w:pStyle w:val="ListBullet"/>
      </w:pPr>
      <w:r>
        <w:t>Comparing unlike configurations as equivalent</w:t>
      </w:r>
    </w:p>
    <w:p>
      <w:pPr>
        <w:pStyle w:val="ListBullet"/>
      </w:pPr>
      <w:r>
        <w:t>Presenting lexical association as psychological diagnosis or proven intention</w:t>
      </w:r>
    </w:p>
    <w:p>
      <w:pPr>
        <w:pStyle w:val="ListBullet"/>
      </w:pPr>
      <w:r>
        <w:t>Using unresolved pronunciation as confirmed sound evidence without disclosure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5E6B75"/>
        <w:sz w:val="16"/>
      </w:rPr>
      <w:t>Free VerseVAD Training Material · Version 1.0</w:t>
    </w:r>
    <w:r>
      <w:tab/>
    </w:r>
    <w:r>
      <w:rPr>
        <w:sz w:val="16"/>
      </w:rPr>
      <w:t xml:space="preserve">Page </w:t>
    </w:r>
    <w:r/>
    <w:r/>
    <w:r/>
    <w:r>
      <w:rPr>
        <w:rFonts w:ascii="Calibri" w:hAnsi="Calibri"/>
        <w:sz w:val="16"/>
      </w:rPr>
      <w:t>1</w:t>
    </w:r>
    <w:r/>
    <w:r>
      <w:rPr>
        <w:sz w:val="16"/>
      </w:rPr>
      <w:t xml:space="preserve"> of </w:t>
    </w:r>
    <w:r/>
    <w:r/>
    <w:r/>
    <w:r>
      <w:rPr>
        <w:rFonts w:ascii="Calibri" w:hAnsi="Calibri"/>
        <w:sz w:val="16"/>
      </w:rPr>
      <w:t>1</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5E6B75"/>
        <w:sz w:val="16"/>
      </w:rPr>
      <w:t>Computational Close Reading with VerseVAD · Applied Assignment</w:t>
    </w:r>
    <w:r>
      <w:tab/>
    </w:r>
    <w:r>
      <w:rPr>
        <w:rFonts w:ascii="Calibri" w:hAnsi="Calibri"/>
        <w:b/>
        <w:color w:val="8A3B20"/>
        <w:sz w:val="16"/>
      </w:rPr>
      <w:t>TRAINING 1.0 · FREE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color w:val="1E2B3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color w:val="1E2B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Close Reading with VerseVAD</dc:title>
  <dc:subject>Applied performance assessment for VerseVAD Analyst — Level 1 course</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