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pStyle w:val="VerseVADKicker"/>
        <w:jc w:val="center"/>
      </w:pPr>
      <w:r>
        <w:t>VERSEVAD TRAINING PATHWAY · ANALYST LEVEL 1</w:t>
      </w:r>
    </w:p>
    <w:p>
      <w:pPr>
        <w:pStyle w:val="Title"/>
        <w:jc w:val="center"/>
      </w:pPr>
      <w:r>
        <w:t>Computational Close Reading with VerseVAD</w:t>
      </w:r>
    </w:p>
    <w:p>
      <w:pPr>
        <w:pStyle w:val="Subtitle"/>
        <w:jc w:val="center"/>
      </w:pPr>
      <w:r>
        <w:t>Independent-Study Learner Manual</w:t>
      </w:r>
    </w:p>
    <w:tbl>
      <w:tblPr>
        <w:tblW w:type="dxa" w:w="6000"/>
        <w:jc w:val="center"/>
        <w:tblLook w:firstColumn="1" w:firstRow="1" w:lastColumn="0" w:lastRow="0" w:noHBand="0" w:noVBand="1" w:val="04A0"/>
        <w:tblLayout w:type="fixed"/>
        <w:tblBorders>
          <w:top w:val="single" w:sz="0" w:space="0" w:color="8A3B20"/>
          <w:left w:val="single" w:sz="0" w:space="0" w:color="8A3B20"/>
          <w:bottom w:val="single" w:sz="0" w:space="0" w:color="8A3B20"/>
          <w:right w:val="single" w:sz="0" w:space="0" w:color="8A3B20"/>
          <w:insideH w:val="single" w:sz="0" w:space="0" w:color="8A3B20"/>
          <w:insideV w:val="single" w:sz="0" w:space="0" w:color="8A3B20"/>
        </w:tblBorders>
        <w:tblCaption w:val="Decorative cover rule"/>
        <w:tblDescription w:val="Rust-colored separator beneath the training title."/>
      </w:tblPr>
      <w:tblGrid>
        <w:gridCol w:w="9360"/>
      </w:tblGrid>
      <w:tr>
        <w:tc>
          <w:tcPr>
            <w:tcW w:type="dxa" w:w="9360"/>
            <w:shd w:fill="8A3B20"/>
            <w:tcMar>
              <w:top w:w="18" w:type="dxa"/>
              <w:start w:w="0" w:type="dxa"/>
              <w:bottom w:w="18" w:type="dxa"/>
              <w:end w:w="0" w:type="dxa"/>
            </w:tcMar>
          </w:tcPr>
          <w:p>
            <w:r/>
          </w:p>
        </w:tc>
      </w:tr>
    </w:tbl>
    <w:p/>
    <w:tbl>
      <w:tblPr>
        <w:tblW w:type="dxa" w:w="6700"/>
        <w:jc w:val="center"/>
        <w:tblLook w:firstColumn="1" w:firstRow="1" w:lastColumn="0" w:lastRow="0" w:noHBand="0" w:noVBand="1" w:val="04A0"/>
        <w:tblLayout w:type="fixed"/>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aption w:val="Training document metadata"/>
        <w:tblDescription w:val="Purpose, study time, prerequisite, versions, preparation date, and private distribution status."/>
      </w:tblPr>
      <w:tblGrid>
        <w:gridCol w:w="4680"/>
        <w:gridCol w:w="4680"/>
      </w:tblGrid>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PURPOSE</w:t>
            </w:r>
          </w:p>
        </w:tc>
        <w:tc>
          <w:tcPr>
            <w:tcW w:type="dxa" w:w="4800"/>
            <w:tcMar>
              <w:top w:w="65" w:type="dxa"/>
              <w:start w:w="100" w:type="dxa"/>
              <w:bottom w:w="65" w:type="dxa"/>
              <w:end w:w="100" w:type="dxa"/>
            </w:tcMar>
            <w:vAlign w:val="center"/>
          </w:tcPr>
          <w:p>
            <w:pPr>
              <w:spacing w:after="0"/>
            </w:pPr>
            <w:r>
              <w:rPr>
                <w:sz w:val="18"/>
              </w:rPr>
              <w:t>A 12–20 hours independent-study course aligned to VerseVAD 1.0.0</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ESTIMATED STUDY</w:t>
            </w:r>
          </w:p>
        </w:tc>
        <w:tc>
          <w:tcPr>
            <w:tcW w:type="dxa" w:w="4800"/>
            <w:tcMar>
              <w:top w:w="65" w:type="dxa"/>
              <w:start w:w="100" w:type="dxa"/>
              <w:bottom w:w="65" w:type="dxa"/>
              <w:end w:w="100" w:type="dxa"/>
            </w:tcMar>
            <w:vAlign w:val="center"/>
          </w:tcPr>
          <w:p>
            <w:pPr>
              <w:spacing w:after="0"/>
            </w:pPr>
            <w:r>
              <w:rPr>
                <w:sz w:val="18"/>
              </w:rPr>
              <w:t>12–20 hours</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PREREQUISITE</w:t>
            </w:r>
          </w:p>
        </w:tc>
        <w:tc>
          <w:tcPr>
            <w:tcW w:type="dxa" w:w="4800"/>
            <w:tcMar>
              <w:top w:w="65" w:type="dxa"/>
              <w:start w:w="100" w:type="dxa"/>
              <w:bottom w:w="65" w:type="dxa"/>
              <w:end w:w="100" w:type="dxa"/>
            </w:tcMar>
            <w:vAlign w:val="center"/>
          </w:tcPr>
          <w:p>
            <w:pPr>
              <w:spacing w:after="0"/>
            </w:pPr>
            <w:r>
              <w:rPr>
                <w:sz w:val="18"/>
              </w:rPr>
              <w:t>VerseVAD Foundations or equivalent demonstrated competence</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TRAINING VERSION</w:t>
            </w:r>
          </w:p>
        </w:tc>
        <w:tc>
          <w:tcPr>
            <w:tcW w:type="dxa" w:w="4800"/>
            <w:tcMar>
              <w:top w:w="65" w:type="dxa"/>
              <w:start w:w="100" w:type="dxa"/>
              <w:bottom w:w="65" w:type="dxa"/>
              <w:end w:w="100" w:type="dxa"/>
            </w:tcMar>
            <w:vAlign w:val="center"/>
          </w:tcPr>
          <w:p>
            <w:pPr>
              <w:spacing w:after="0"/>
            </w:pPr>
            <w:r>
              <w:rPr>
                <w:sz w:val="18"/>
              </w:rPr>
              <w:t>1.0 — Free Course Edition</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SOFTWARE BASIS</w:t>
            </w:r>
          </w:p>
        </w:tc>
        <w:tc>
          <w:tcPr>
            <w:tcW w:type="dxa" w:w="4800"/>
            <w:tcMar>
              <w:top w:w="65" w:type="dxa"/>
              <w:start w:w="100" w:type="dxa"/>
              <w:bottom w:w="65" w:type="dxa"/>
              <w:end w:w="100" w:type="dxa"/>
            </w:tcMar>
            <w:vAlign w:val="center"/>
          </w:tcPr>
          <w:p>
            <w:pPr>
              <w:spacing w:after="0"/>
            </w:pPr>
            <w:r>
              <w:rPr>
                <w:sz w:val="18"/>
              </w:rPr>
              <w:t>VerseVAD 1.0.0 · implementation a7d93c6</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PREPARED</w:t>
            </w:r>
          </w:p>
        </w:tc>
        <w:tc>
          <w:tcPr>
            <w:tcW w:type="dxa" w:w="4800"/>
            <w:tcMar>
              <w:top w:w="65" w:type="dxa"/>
              <w:start w:w="100" w:type="dxa"/>
              <w:bottom w:w="65" w:type="dxa"/>
              <w:end w:w="100" w:type="dxa"/>
            </w:tcMar>
            <w:vAlign w:val="center"/>
          </w:tcPr>
          <w:p>
            <w:pPr>
              <w:spacing w:after="0"/>
            </w:pPr>
            <w:r>
              <w:rPr>
                <w:sz w:val="18"/>
              </w:rPr>
              <w:t>August 1, 2026</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DISTRIBUTION</w:t>
            </w:r>
          </w:p>
        </w:tc>
        <w:tc>
          <w:tcPr>
            <w:tcW w:type="dxa" w:w="4800"/>
            <w:tcMar>
              <w:top w:w="65" w:type="dxa"/>
              <w:start w:w="100" w:type="dxa"/>
              <w:bottom w:w="65" w:type="dxa"/>
              <w:end w:w="100" w:type="dxa"/>
            </w:tcMar>
            <w:vAlign w:val="center"/>
          </w:tcPr>
          <w:p>
            <w:pPr>
              <w:spacing w:after="0"/>
            </w:pPr>
            <w:r>
              <w:rPr>
                <w:sz w:val="18"/>
              </w:rPr>
              <w:t>Free VerseVAD Training Material</w:t>
            </w:r>
          </w:p>
        </w:tc>
      </w:tr>
    </w:tbl>
    <w:p/>
    <w:tbl>
      <w:tblPr>
        <w:tblW w:type="dxa" w:w="6700"/>
        <w:jc w:val="center"/>
        <w:tblLook w:firstColumn="1" w:firstRow="1" w:lastColumn="0" w:lastRow="0" w:noHBand="0" w:noVBand="1" w:val="04A0"/>
        <w:tblLayout w:type="fixed"/>
        <w:tblCaption w:val="Private distribution notice"/>
        <w:tblDescription w:val="Private Training Material / Not for Public Distribution"/>
      </w:tblPr>
      <w:tblGrid>
        <w:gridCol w:w="9360"/>
      </w:tblGrid>
      <w:tr>
        <w:tc>
          <w:tcPr>
            <w:tcW w:type="dxa" w:w="9360"/>
            <w:shd w:fill="F4E9E3"/>
            <w:tcMar>
              <w:top w:w="140" w:type="dxa"/>
              <w:start w:w="170" w:type="dxa"/>
              <w:bottom w:w="140" w:type="dxa"/>
              <w:end w:w="170" w:type="dxa"/>
            </w:tcMar>
          </w:tcPr>
          <w:p>
            <w:pPr>
              <w:spacing w:after="0"/>
            </w:pPr>
            <w:r>
              <w:rPr>
                <w:b/>
                <w:color w:val="8A3B20"/>
              </w:rPr>
              <w:t>Free VerseVAD Training Material</w:t>
            </w:r>
          </w:p>
        </w:tc>
      </w:tr>
    </w:tbl>
    <w:p>
      <w:r/>
    </w:p>
    <w:p>
      <w:pPr>
        <w:pStyle w:val="Heading1"/>
      </w:pPr>
      <w:r>
        <w:t>Contents and Course Map</w:t>
      </w:r>
    </w:p>
    <w:p>
      <w:r>
        <w:rPr>
          <w:i/>
          <w:color w:val="5E6B75"/>
          <w:sz w:val="18"/>
        </w:rPr>
        <w:t>Use Word's Navigation pane to move among structured headings. This field-free map renders consistently across Word installations.</w:t>
      </w:r>
    </w:p>
    <w:p>
      <w:pPr>
        <w:spacing w:after="80"/>
      </w:pPr>
      <w:r>
        <w:rPr>
          <w:b/>
          <w:color w:val="1F4D78"/>
        </w:rPr>
        <w:t>Course Orientation</w:t>
      </w:r>
    </w:p>
    <w:p>
      <w:pPr>
        <w:spacing w:after="80"/>
      </w:pPr>
      <w:r>
        <w:rPr>
          <w:b w:val="0"/>
          <w:color w:val="5E6B75"/>
        </w:rPr>
        <w:t>L1.1 · Designing a Computational Close Reading</w:t>
      </w:r>
    </w:p>
    <w:p>
      <w:pPr>
        <w:spacing w:after="80"/>
      </w:pPr>
      <w:r>
        <w:rPr>
          <w:b w:val="0"/>
          <w:color w:val="5E6B75"/>
        </w:rPr>
        <w:t>L1.2 · Preprocessing as Method</w:t>
      </w:r>
    </w:p>
    <w:p>
      <w:pPr>
        <w:spacing w:after="80"/>
      </w:pPr>
      <w:r>
        <w:rPr>
          <w:b w:val="0"/>
          <w:color w:val="5E6B75"/>
        </w:rPr>
        <w:t>L1.3 · Advanced VAD, Emotion, and Sentiment</w:t>
      </w:r>
    </w:p>
    <w:p>
      <w:pPr>
        <w:spacing w:after="80"/>
      </w:pPr>
      <w:r>
        <w:rPr>
          <w:b w:val="0"/>
          <w:color w:val="5E6B75"/>
        </w:rPr>
        <w:t>L1.4 · Concreteness, Sensorimotor, Embodiment, Frequency, and AoA</w:t>
      </w:r>
    </w:p>
    <w:p>
      <w:pPr>
        <w:spacing w:after="80"/>
      </w:pPr>
      <w:r>
        <w:rPr>
          <w:b w:val="0"/>
          <w:color w:val="5E6B75"/>
        </w:rPr>
        <w:t>L1.5 · Lexical Diversity and Text-Length Effects</w:t>
      </w:r>
    </w:p>
    <w:p>
      <w:pPr>
        <w:spacing w:after="80"/>
      </w:pPr>
      <w:r>
        <w:rPr>
          <w:b w:val="0"/>
          <w:color w:val="5E6B75"/>
        </w:rPr>
        <w:t>L1.6 · Pronunciation, Syllables, Meter, and Rhythmic Regularity</w:t>
      </w:r>
    </w:p>
    <w:p>
      <w:pPr>
        <w:spacing w:after="80"/>
      </w:pPr>
      <w:r>
        <w:rPr>
          <w:b w:val="0"/>
          <w:color w:val="5E6B75"/>
        </w:rPr>
        <w:t>L1.7 · Rhyme, Phonological Patterning, and Inherited Form</w:t>
      </w:r>
    </w:p>
    <w:p>
      <w:pPr>
        <w:spacing w:after="80"/>
      </w:pPr>
      <w:r>
        <w:rPr>
          <w:b w:val="0"/>
          <w:color w:val="5E6B75"/>
        </w:rPr>
        <w:t>L1.8 · Poem-to-Poem Comparison</w:t>
      </w:r>
    </w:p>
    <w:p>
      <w:pPr>
        <w:spacing w:after="80"/>
      </w:pPr>
      <w:r>
        <w:rPr>
          <w:b w:val="0"/>
          <w:color w:val="5E6B75"/>
        </w:rPr>
        <w:t>L1.9 · VerseMap for Close Reading</w:t>
      </w:r>
    </w:p>
    <w:p>
      <w:pPr>
        <w:spacing w:after="80"/>
      </w:pPr>
      <w:r>
        <w:rPr>
          <w:b w:val="0"/>
          <w:color w:val="5E6B75"/>
        </w:rPr>
        <w:t>L1.10 · Writing VerseVAD-Assisted Analysis</w:t>
      </w:r>
    </w:p>
    <w:p>
      <w:pPr>
        <w:spacing w:after="80"/>
      </w:pPr>
      <w:r>
        <w:rPr>
          <w:b/>
          <w:color w:val="1F4D78"/>
        </w:rPr>
        <w:t>Course Synthesis and Method Reference</w:t>
      </w:r>
    </w:p>
    <w:p>
      <w:pPr>
        <w:spacing w:after="80"/>
      </w:pPr>
      <w:r>
        <w:rPr>
          <w:b/>
          <w:color w:val="1F4D78"/>
        </w:rPr>
        <w:t>Final Conceptual Assessment</w:t>
      </w:r>
    </w:p>
    <w:p>
      <w:pPr>
        <w:spacing w:after="80"/>
      </w:pPr>
      <w:r>
        <w:rPr>
          <w:b/>
          <w:color w:val="1F4D78"/>
        </w:rPr>
        <w:t>Applied Assessment Bridge</w:t>
      </w:r>
    </w:p>
    <w:p>
      <w:pPr>
        <w:spacing w:after="80"/>
      </w:pPr>
      <w:r>
        <w:rPr>
          <w:b/>
          <w:color w:val="1F4D78"/>
        </w:rPr>
        <w:t>Glossary</w:t>
      </w:r>
    </w:p>
    <w:p>
      <w:pPr>
        <w:pStyle w:val="Heading1"/>
      </w:pPr>
      <w:r>
        <w:t>Course Orientation</w:t>
      </w:r>
    </w:p>
    <w:p>
      <w:pPr>
        <w:pStyle w:val="Heading2"/>
      </w:pPr>
      <w:r>
        <w:t>Purpose and audience</w:t>
      </w:r>
    </w:p>
    <w:p>
      <w:r>
        <w:t>An advanced independent-study course in method design, affective and lexical interpretation, prosody, comparison, VerseMap, and scholarly writing.</w:t>
      </w:r>
    </w:p>
    <w:p>
      <w:r>
        <w:t>**Audience:** Scholars, educators, students, editors, and researchers ready to design evidence-led close readings</w:t>
      </w:r>
    </w:p>
    <w:p>
      <w:r>
        <w:t>**Prerequisite:** VerseVAD Foundations or equivalent demonstrated competence</w:t>
      </w:r>
    </w:p>
    <w:p>
      <w:r>
        <w:t>**Estimated independent-study time:** 12–20 hours</w:t>
      </w:r>
    </w:p>
    <w:tbl>
      <w:tblPr>
        <w:tblW w:type="dxa" w:w="9360"/>
        <w:jc w:val="center"/>
        <w:tblLook w:firstColumn="1" w:firstRow="1" w:lastColumn="0" w:lastRow="0" w:noHBand="0" w:noVBand="1" w:val="04A0"/>
        <w:tblLayout w:type="fixed"/>
        <w:tblBorders>
          <w:top w:val="single" w:sz="6" w:space="0" w:color="8A3B20"/>
          <w:left w:val="single" w:sz="6" w:space="0" w:color="8A3B20"/>
          <w:bottom w:val="single" w:sz="6" w:space="0" w:color="8A3B20"/>
          <w:right w:val="single" w:sz="6" w:space="0" w:color="8A3B20"/>
          <w:insideH w:val="single" w:sz="6" w:space="0" w:color="8A3B20"/>
          <w:insideV w:val="single" w:sz="6" w:space="0" w:color="8A3B20"/>
        </w:tblBorders>
        <w:tblCaption w:val="Caution callout"/>
        <w:tblDescription w:val="This draft package supports learning and evaluation. It does not itself issue a certificate, confer instructor authorization, or replace owner-approved credential administration."/>
      </w:tblPr>
      <w:tblGrid>
        <w:gridCol w:w="9360"/>
      </w:tblGrid>
      <w:tr>
        <w:trPr>
          <w:tblHeader w:val="true"/>
        </w:trPr>
        <w:tc>
          <w:tcPr>
            <w:tcW w:type="dxa" w:w="9360"/>
            <w:shd w:fill="F4E9E3"/>
            <w:tcMar>
              <w:top w:w="140" w:type="dxa"/>
              <w:start w:w="160" w:type="dxa"/>
              <w:bottom w:w="140" w:type="dxa"/>
              <w:end w:w="160" w:type="dxa"/>
            </w:tcMar>
          </w:tcPr>
          <w:p>
            <w:pPr>
              <w:spacing w:after="0"/>
            </w:pPr>
            <w:r>
              <w:rPr>
                <w:b/>
                <w:color w:val="8A3B20"/>
              </w:rPr>
              <w:t xml:space="preserve">CAUTION: </w:t>
            </w:r>
            <w:r>
              <w:t>This course package supports learning and evaluation. It does not itself issue a certificate, confer instructor authorization, or replace owner-approved credential administration.</w:t>
            </w:r>
          </w:p>
        </w:tc>
      </w:tr>
    </w:tbl>
    <w:p>
      <w:pPr>
        <w:spacing w:after="0"/>
      </w:pPr>
    </w:p>
    <w:p>
      <w:pPr>
        <w:pStyle w:val="Heading2"/>
      </w:pPr>
      <w:r>
        <w:t>Assessed course outcomes</w:t>
      </w:r>
    </w:p>
    <w:p>
      <w:pPr>
        <w:pStyle w:val="ListBullet"/>
      </w:pPr>
      <w:r>
        <w:t>Design a computational close reading from a literary question.</w:t>
      </w:r>
    </w:p>
    <w:p>
      <w:pPr>
        <w:pStyle w:val="ListBullet"/>
      </w:pPr>
      <w:r>
        <w:t>Apply and document preprocessing, weighting, stopword, source, and coverage choices.</w:t>
      </w:r>
    </w:p>
    <w:p>
      <w:pPr>
        <w:pStyle w:val="ListBullet"/>
      </w:pPr>
      <w:r>
        <w:t>Interpret major VerseVAD metric families with appropriate limitations.</w:t>
      </w:r>
    </w:p>
    <w:p>
      <w:pPr>
        <w:pStyle w:val="ListBullet"/>
      </w:pPr>
      <w:r>
        <w:t>Compare two to ten poems under one shared method.</w:t>
      </w:r>
    </w:p>
    <w:p>
      <w:pPr>
        <w:pStyle w:val="ListBullet"/>
      </w:pPr>
      <w:r>
        <w:t>Audit pronunciation-dependent sound and form evidence.</w:t>
      </w:r>
    </w:p>
    <w:p>
      <w:pPr>
        <w:pStyle w:val="ListBullet"/>
      </w:pPr>
      <w:r>
        <w:t>Use VerseMap to generate comparative questions without overclaiming.</w:t>
      </w:r>
    </w:p>
    <w:p>
      <w:pPr>
        <w:pStyle w:val="ListBullet"/>
      </w:pPr>
      <w:r>
        <w:t>Write a reproducible VerseVAD-assisted literary analysis.</w:t>
      </w:r>
    </w:p>
    <w:p>
      <w:pPr>
        <w:pStyle w:val="Heading2"/>
      </w:pPr>
      <w:r>
        <w:t>Recommended independent-study rhythm</w:t>
      </w:r>
    </w:p>
    <w:p>
      <w:pPr>
        <w:pStyle w:val="ListNumber"/>
      </w:pPr>
      <w:r>
        <w:t>Preview the module purpose and write an initial prediction or question.</w:t>
      </w:r>
    </w:p>
    <w:p>
      <w:pPr>
        <w:pStyle w:val="ListNumber"/>
      </w:pPr>
      <w:r>
        <w:t>Read the method explanation and define unfamiliar terms in your own words.</w:t>
      </w:r>
    </w:p>
    <w:p>
      <w:pPr>
        <w:pStyle w:val="ListNumber"/>
      </w:pPr>
      <w:r>
        <w:t>Complete the guided workflow in VerseVAD with an approved public-domain or synthetic text.</w:t>
      </w:r>
    </w:p>
    <w:p>
      <w:pPr>
        <w:pStyle w:val="ListNumber"/>
      </w:pPr>
      <w:r>
        <w:t>Audit coverage, denominators, settings, warnings, and evidence before interpreting.</w:t>
      </w:r>
    </w:p>
    <w:p>
      <w:pPr>
        <w:pStyle w:val="ListNumber"/>
      </w:pPr>
      <w:r>
        <w:t>Complete the practice case and compare your decision with the module rule.</w:t>
      </w:r>
    </w:p>
    <w:p>
      <w:pPr>
        <w:pStyle w:val="ListNumber"/>
      </w:pPr>
      <w:r>
        <w:t>Record one transferable principle and one unresolved question in a private research notebook.</w:t>
      </w:r>
    </w:p>
    <w:p>
      <w:pPr>
        <w:pStyle w:val="Heading2"/>
      </w:pPr>
      <w:r>
        <w:t>Course-wide method covenant</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Course-wide method safeguards"/>
        <w:tblDescription w:val="Current VerseVAD safeguards governing source fidelity, missingness, comparison, persistence, and interpretation."/>
      </w:tblPr>
      <w:tblGrid>
        <w:gridCol w:w="4680"/>
        <w:gridCol w:w="4680"/>
      </w:tblGrid>
      <w:tr>
        <w:trPr>
          <w:cantSplit/>
          <w:trHeight w:hRule="atLeast"/>
          <w:tblHeader w:val="true"/>
        </w:trPr>
        <w:tc>
          <w:tcPr>
            <w:tcW w:type="dxa" w:w="2100"/>
            <w:tcMar>
              <w:top w:w="75" w:type="dxa"/>
              <w:start w:w="100" w:type="dxa"/>
              <w:bottom w:w="75" w:type="dxa"/>
              <w:end w:w="100" w:type="dxa"/>
            </w:tcMar>
            <w:vAlign w:val="center"/>
            <w:shd w:fill="E8EEF5"/>
          </w:tcPr>
          <w:p>
            <w:pPr>
              <w:spacing w:after="0" w:line="264" w:lineRule="auto"/>
            </w:pPr>
            <w:r>
              <w:rPr>
                <w:b/>
                <w:color w:val="1F4D78"/>
                <w:sz w:val="17"/>
              </w:rPr>
              <w:t>Safeguard</w:t>
            </w:r>
          </w:p>
        </w:tc>
        <w:tc>
          <w:tcPr>
            <w:tcW w:type="dxa" w:w="7260"/>
            <w:tcMar>
              <w:top w:w="75" w:type="dxa"/>
              <w:start w:w="100" w:type="dxa"/>
              <w:bottom w:w="75" w:type="dxa"/>
              <w:end w:w="100" w:type="dxa"/>
            </w:tcMar>
            <w:vAlign w:val="center"/>
            <w:shd w:fill="E8EEF5"/>
          </w:tcPr>
          <w:p>
            <w:pPr>
              <w:spacing w:after="0" w:line="264" w:lineRule="auto"/>
            </w:pPr>
            <w:r>
              <w:rPr>
                <w:b/>
                <w:color w:val="1F4D78"/>
                <w:sz w:val="17"/>
              </w:rPr>
              <w:t>Required practice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Evidence, not verdict</w:t>
            </w:r>
          </w:p>
        </w:tc>
        <w:tc>
          <w:tcPr>
            <w:tcW w:type="dxa" w:w="7260"/>
            <w:tcMar>
              <w:top w:w="75" w:type="dxa"/>
              <w:start w:w="100" w:type="dxa"/>
              <w:bottom w:w="75" w:type="dxa"/>
              <w:end w:w="100" w:type="dxa"/>
            </w:tcMar>
            <w:vAlign w:val="center"/>
          </w:tcPr>
          <w:p>
            <w:pPr>
              <w:spacing w:after="0" w:line="264" w:lineRule="auto"/>
            </w:pPr>
            <w:r>
              <w:rPr>
                <w:sz w:val="17"/>
              </w:rPr>
              <w:t>VerseVAD reports inspectable lexical and formal evidence. It does not identify a poem's true emotion, speaker psychology, authorial intention, literary quality, or correct interpretation.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Source fidelity</w:t>
            </w:r>
          </w:p>
        </w:tc>
        <w:tc>
          <w:tcPr>
            <w:tcW w:type="dxa" w:w="7260"/>
            <w:tcMar>
              <w:top w:w="75" w:type="dxa"/>
              <w:start w:w="100" w:type="dxa"/>
              <w:bottom w:w="75" w:type="dxa"/>
              <w:end w:w="100" w:type="dxa"/>
            </w:tcMar>
            <w:vAlign w:val="center"/>
          </w:tcPr>
          <w:p>
            <w:pPr>
              <w:spacing w:after="0" w:line="264" w:lineRule="auto"/>
            </w:pPr>
            <w:r>
              <w:rPr>
                <w:sz w:val="17"/>
              </w:rPr>
              <w:t>Original spelling, punctuation, lineation, and stanza boundaries remain part of the preserved source. Normalization occurs only in a traceable processing representation.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Missingness</w:t>
            </w:r>
          </w:p>
        </w:tc>
        <w:tc>
          <w:tcPr>
            <w:tcW w:type="dxa" w:w="7260"/>
            <w:tcMar>
              <w:top w:w="75" w:type="dxa"/>
              <w:start w:w="100" w:type="dxa"/>
              <w:bottom w:w="75" w:type="dxa"/>
              <w:end w:w="100" w:type="dxa"/>
            </w:tcMar>
            <w:vAlign w:val="center"/>
          </w:tcPr>
          <w:p>
            <w:pPr>
              <w:spacing w:after="0" w:line="264" w:lineRule="auto"/>
            </w:pPr>
            <w:r>
              <w:rPr>
                <w:sz w:val="17"/>
              </w:rPr>
              <w:t>Unmatched, unresolved, ineligible, suppressed, and unavailable evidence remain distinct. VerseVAD does not replace a missing rating with zero or a neutral midpoint.</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Weighting and stopwords</w:t>
            </w:r>
          </w:p>
        </w:tc>
        <w:tc>
          <w:tcPr>
            <w:tcW w:type="dxa" w:w="7260"/>
            <w:tcMar>
              <w:top w:w="75" w:type="dxa"/>
              <w:start w:w="100" w:type="dxa"/>
              <w:bottom w:w="75" w:type="dxa"/>
              <w:end w:w="100" w:type="dxa"/>
            </w:tcMar>
            <w:vAlign w:val="center"/>
          </w:tcPr>
          <w:p>
            <w:pPr>
              <w:spacing w:after="0" w:line="264" w:lineRule="auto"/>
            </w:pPr>
            <w:r>
              <w:rPr>
                <w:sz w:val="17"/>
              </w:rPr>
              <w:t>Token weighting retains repetition; type weighting gives each retained distinct form one contribution. All-matched and stopword-excluded views answer different questions and must be named in comparison work.</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Coverage</w:t>
            </w:r>
          </w:p>
        </w:tc>
        <w:tc>
          <w:tcPr>
            <w:tcW w:type="dxa" w:w="7260"/>
            <w:tcMar>
              <w:top w:w="75" w:type="dxa"/>
              <w:start w:w="100" w:type="dxa"/>
              <w:bottom w:w="75" w:type="dxa"/>
              <w:end w:w="100" w:type="dxa"/>
            </w:tcMar>
            <w:vAlign w:val="center"/>
          </w:tcPr>
          <w:p>
            <w:pPr>
              <w:spacing w:after="0" w:line="264" w:lineRule="auto"/>
            </w:pPr>
            <w:r>
              <w:rPr>
                <w:sz w:val="17"/>
              </w:rPr>
              <w:t>Every interpretation must name its eligible denominator, matched evidence, and coverage. Coverage is an evidence-sufficiency description, not a confidence interval or probability that an interpretation is true.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Comparison</w:t>
            </w:r>
          </w:p>
        </w:tc>
        <w:tc>
          <w:tcPr>
            <w:tcW w:type="dxa" w:w="7260"/>
            <w:tcMar>
              <w:top w:w="75" w:type="dxa"/>
              <w:start w:w="100" w:type="dxa"/>
              <w:bottom w:w="75" w:type="dxa"/>
              <w:end w:w="100" w:type="dxa"/>
            </w:tcMar>
            <w:vAlign w:val="center"/>
          </w:tcPr>
          <w:p>
            <w:pPr>
              <w:spacing w:after="0" w:line="264" w:lineRule="auto"/>
            </w:pPr>
            <w:r>
              <w:rPr>
                <w:sz w:val="17"/>
              </w:rPr>
              <w:t>Compare Poems applies one shared configuration to two through ten poems, displays poem values side by side, and reports descriptive range where meaningful. Range is not an effect size or significance test.</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VerseMap</w:t>
            </w:r>
          </w:p>
        </w:tc>
        <w:tc>
          <w:tcPr>
            <w:tcW w:type="dxa" w:w="7260"/>
            <w:tcMar>
              <w:top w:w="75" w:type="dxa"/>
              <w:start w:w="100" w:type="dxa"/>
              <w:bottom w:w="75" w:type="dxa"/>
              <w:end w:w="100" w:type="dxa"/>
            </w:tcMar>
            <w:vAlign w:val="center"/>
          </w:tcPr>
          <w:p>
            <w:pPr>
              <w:spacing w:after="0" w:line="264" w:lineRule="auto"/>
            </w:pPr>
            <w:r>
              <w:rPr>
                <w:sz w:val="17"/>
              </w:rPr>
              <w:t>VerseMap Standard Profile 1.0 is fixed, token weighted, stopword excluded for lexical features, content-POS aware, length normalized where required, and sound free. PCA supplies two display axes; neighbors use coverage-aware weighted standardized Euclidean distance in the fuller feature space.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Prosody</w:t>
            </w:r>
          </w:p>
        </w:tc>
        <w:tc>
          <w:tcPr>
            <w:tcW w:type="dxa" w:w="7260"/>
            <w:tcMar>
              <w:top w:w="75" w:type="dxa"/>
              <w:start w:w="100" w:type="dxa"/>
              <w:bottom w:w="75" w:type="dxa"/>
              <w:end w:w="100" w:type="dxa"/>
            </w:tcMar>
            <w:vAlign w:val="center"/>
          </w:tcPr>
          <w:p>
            <w:pPr>
              <w:spacing w:after="0" w:line="264" w:lineRule="auto"/>
            </w:pPr>
            <w:r>
              <w:rPr>
                <w:sz w:val="17"/>
              </w:rPr>
              <w:t>A CMUdict absence remains unmatched. G2P output is provisional and contributes no confirmed sound evidence until approved or edited as a session-only pronunciation override.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Persistence</w:t>
            </w:r>
          </w:p>
        </w:tc>
        <w:tc>
          <w:tcPr>
            <w:tcW w:type="dxa" w:w="7260"/>
            <w:tcMar>
              <w:top w:w="75" w:type="dxa"/>
              <w:start w:w="100" w:type="dxa"/>
              <w:bottom w:w="75" w:type="dxa"/>
              <w:end w:w="100" w:type="dxa"/>
            </w:tcMar>
            <w:vAlign w:val="center"/>
          </w:tcPr>
          <w:p>
            <w:pPr>
              <w:spacing w:after="0" w:line="264" w:lineRule="auto"/>
            </w:pPr>
            <w:r>
              <w:rPr>
                <w:sz w:val="17"/>
              </w:rPr>
              <w:t>Saved analyses require an explicit title and save action. Local projects, personal corpora, profiles, and research libraries persist in ignored private storage; hosted-cloud research storage is session-limited.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Exports</w:t>
            </w:r>
          </w:p>
        </w:tc>
        <w:tc>
          <w:tcPr>
            <w:tcW w:type="dxa" w:w="7260"/>
            <w:tcMar>
              <w:top w:w="75" w:type="dxa"/>
              <w:start w:w="100" w:type="dxa"/>
              <w:bottom w:w="75" w:type="dxa"/>
              <w:end w:w="100" w:type="dxa"/>
            </w:tcMar>
            <w:vAlign w:val="center"/>
          </w:tcPr>
          <w:p>
            <w:pPr>
              <w:spacing w:after="0" w:line="264" w:lineRule="auto"/>
            </w:pPr>
            <w:r>
              <w:rPr>
                <w:sz w:val="17"/>
              </w:rPr>
              <w:t>The interface rounds for readability, while exports preserve calculation precision, settings, resource and software versions, coverage, warnings, and evidence needed for audit. Research notes are excluded by default.</w:t>
            </w:r>
          </w:p>
        </w:tc>
      </w:tr>
    </w:tbl>
    <w:p>
      <w:pPr>
        <w:pStyle w:val="Heading2"/>
      </w:pPr>
      <w:r>
        <w:t>Public-domain practice-text policy</w:t>
      </w:r>
    </w:p>
    <w:p>
      <w:r>
        <w:t>Choose a complete poem whose public-domain status is confirmed for the learner's jurisdiction and whose edition can be cited. Do not reproduce a modern edited version merely because the underlying poem is old. Record source URL or bibliographic citation, access date, and any transcription intervention. Training prompts may name suggested authors or works, but this manual does not reproduce full poems.</w:t>
      </w:r>
    </w:p>
    <w:tbl>
      <w:tblPr>
        <w:tblW w:type="dxa" w:w="9360"/>
        <w:jc w:val="center"/>
        <w:tblLook w:firstColumn="1" w:firstRow="1" w:lastColumn="0" w:lastRow="0" w:noHBand="0" w:noVBand="1" w:val="04A0"/>
        <w:tblLayout w:type="fixed"/>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Caption w:val="Note callout"/>
        <w:tblDescription w:val="Suitable starting points include rights-cleared editions of Blake, Dickinson, Shakespeare, Burns, Poe, Hopkins, and other public-domain authors. Verify the specific edition before use."/>
      </w:tblPr>
      <w:tblGrid>
        <w:gridCol w:w="9360"/>
      </w:tblGrid>
      <w:tr>
        <w:trPr>
          <w:tblHeader w:val="true"/>
        </w:trPr>
        <w:tc>
          <w:tcPr>
            <w:tcW w:type="dxa" w:w="9360"/>
            <w:shd w:fill="E8EEF5"/>
            <w:tcMar>
              <w:top w:w="140" w:type="dxa"/>
              <w:start w:w="160" w:type="dxa"/>
              <w:bottom w:w="140" w:type="dxa"/>
              <w:end w:w="160" w:type="dxa"/>
            </w:tcMar>
          </w:tcPr>
          <w:p>
            <w:pPr>
              <w:spacing w:after="0"/>
            </w:pPr>
            <w:r>
              <w:rPr>
                <w:b/>
                <w:color w:val="2E74B5"/>
              </w:rPr>
              <w:t xml:space="preserve">NOTE: </w:t>
            </w:r>
            <w:r>
              <w:t>Suitable starting points include rights-cleared editions of Blake, Dickinson, Shakespeare, Burns, Poe, Hopkins, and other public-domain authors. Verify the specific edition before use.</w:t>
            </w:r>
          </w:p>
        </w:tc>
      </w:tr>
    </w:tbl>
    <w:p>
      <w:pPr>
        <w:spacing w:after="0"/>
      </w:pPr>
    </w:p>
    <w:p>
      <w:pPr>
        <w:pStyle w:val="Heading2"/>
      </w:pPr>
      <w:r>
        <w:t>Assessment structure</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Course assessment structure"/>
        <w:tblDescription w:val="Conceptual, applied, passing, and credential-administration requirements."/>
      </w:tblPr>
      <w:tblGrid>
        <w:gridCol w:w="4680"/>
        <w:gridCol w:w="4680"/>
      </w:tblGrid>
      <w:tr>
        <w:trPr>
          <w:cantSplit/>
          <w:trHeight w:hRule="atLeast"/>
          <w:tblHeader w:val="true"/>
        </w:trPr>
        <w:tc>
          <w:tcPr>
            <w:tcW w:type="dxa" w:w="2500"/>
            <w:tcMar>
              <w:top w:w="75" w:type="dxa"/>
              <w:start w:w="100" w:type="dxa"/>
              <w:bottom w:w="75" w:type="dxa"/>
              <w:end w:w="100" w:type="dxa"/>
            </w:tcMar>
            <w:vAlign w:val="center"/>
            <w:shd w:fill="E8EEF5"/>
          </w:tcPr>
          <w:p>
            <w:pPr>
              <w:spacing w:after="0" w:line="264" w:lineRule="auto"/>
            </w:pPr>
            <w:r>
              <w:rPr>
                <w:b/>
                <w:color w:val="1F4D78"/>
                <w:sz w:val="17"/>
              </w:rPr>
              <w:t>Component</w:t>
            </w:r>
          </w:p>
        </w:tc>
        <w:tc>
          <w:tcPr>
            <w:tcW w:type="dxa" w:w="6860"/>
            <w:tcMar>
              <w:top w:w="75" w:type="dxa"/>
              <w:start w:w="100" w:type="dxa"/>
              <w:bottom w:w="75" w:type="dxa"/>
              <w:end w:w="100" w:type="dxa"/>
            </w:tcMar>
            <w:vAlign w:val="center"/>
            <w:shd w:fill="E8EEF5"/>
          </w:tcPr>
          <w:p>
            <w:pPr>
              <w:spacing w:after="0" w:line="264" w:lineRule="auto"/>
            </w:pPr>
            <w:r>
              <w:rPr>
                <w:b/>
                <w:color w:val="1F4D78"/>
                <w:sz w:val="17"/>
              </w:rPr>
              <w:t>Requirement</w:t>
            </w:r>
          </w:p>
        </w:tc>
      </w:tr>
      <w:tr>
        <w:trPr>
          <w:cantSplit/>
          <w:trHeight w:hRule="atLeast"/>
        </w:trPr>
        <w:tc>
          <w:tcPr>
            <w:tcW w:type="dxa" w:w="2500"/>
            <w:tcMar>
              <w:top w:w="75" w:type="dxa"/>
              <w:start w:w="100" w:type="dxa"/>
              <w:bottom w:w="75" w:type="dxa"/>
              <w:end w:w="100" w:type="dxa"/>
            </w:tcMar>
            <w:vAlign w:val="center"/>
          </w:tcPr>
          <w:p>
            <w:pPr>
              <w:spacing w:after="0" w:line="264" w:lineRule="auto"/>
            </w:pPr>
            <w:r>
              <w:rPr>
                <w:sz w:val="17"/>
              </w:rPr>
              <w:t>Conceptual assessment</w:t>
            </w:r>
          </w:p>
        </w:tc>
        <w:tc>
          <w:tcPr>
            <w:tcW w:type="dxa" w:w="6860"/>
            <w:tcMar>
              <w:top w:w="75" w:type="dxa"/>
              <w:start w:w="100" w:type="dxa"/>
              <w:bottom w:w="75" w:type="dxa"/>
              <w:end w:w="100" w:type="dxa"/>
            </w:tcMar>
            <w:vAlign w:val="center"/>
          </w:tcPr>
          <w:p>
            <w:pPr>
              <w:spacing w:after="0" w:line="264" w:lineRule="auto"/>
            </w:pPr>
            <w:r>
              <w:rPr>
                <w:sz w:val="17"/>
              </w:rPr>
              <w:t>30 one-best-answer scenario and method items; 24 correct required.</w:t>
            </w:r>
          </w:p>
        </w:tc>
      </w:tr>
      <w:tr>
        <w:trPr>
          <w:cantSplit/>
          <w:trHeight w:hRule="atLeast"/>
        </w:trPr>
        <w:tc>
          <w:tcPr>
            <w:tcW w:type="dxa" w:w="2500"/>
            <w:tcMar>
              <w:top w:w="75" w:type="dxa"/>
              <w:start w:w="100" w:type="dxa"/>
              <w:bottom w:w="75" w:type="dxa"/>
              <w:end w:w="100" w:type="dxa"/>
            </w:tcMar>
            <w:vAlign w:val="center"/>
          </w:tcPr>
          <w:p>
            <w:pPr>
              <w:spacing w:after="0" w:line="264" w:lineRule="auto"/>
            </w:pPr>
            <w:r>
              <w:rPr>
                <w:sz w:val="17"/>
              </w:rPr>
              <w:t>Applied assessment</w:t>
            </w:r>
          </w:p>
        </w:tc>
        <w:tc>
          <w:tcPr>
            <w:tcW w:type="dxa" w:w="6860"/>
            <w:tcMar>
              <w:top w:w="75" w:type="dxa"/>
              <w:start w:w="100" w:type="dxa"/>
              <w:bottom w:w="75" w:type="dxa"/>
              <w:end w:w="100" w:type="dxa"/>
            </w:tcMar>
            <w:vAlign w:val="center"/>
          </w:tcPr>
          <w:p>
            <w:pPr>
              <w:spacing w:after="0" w:line="264" w:lineRule="auto"/>
            </w:pPr>
            <w:r>
              <w:rPr>
                <w:sz w:val="17"/>
              </w:rPr>
              <w:t>VerseVAD-Assisted Computational Close Reading</w:t>
            </w:r>
          </w:p>
        </w:tc>
      </w:tr>
      <w:tr>
        <w:trPr>
          <w:cantSplit/>
          <w:trHeight w:hRule="atLeast"/>
        </w:trPr>
        <w:tc>
          <w:tcPr>
            <w:tcW w:type="dxa" w:w="2500"/>
            <w:tcMar>
              <w:top w:w="75" w:type="dxa"/>
              <w:start w:w="100" w:type="dxa"/>
              <w:bottom w:w="75" w:type="dxa"/>
              <w:end w:w="100" w:type="dxa"/>
            </w:tcMar>
            <w:vAlign w:val="center"/>
          </w:tcPr>
          <w:p>
            <w:pPr>
              <w:spacing w:after="0" w:line="264" w:lineRule="auto"/>
            </w:pPr>
            <w:r>
              <w:rPr>
                <w:sz w:val="17"/>
              </w:rPr>
              <w:t>Passing rule</w:t>
            </w:r>
          </w:p>
        </w:tc>
        <w:tc>
          <w:tcPr>
            <w:tcW w:type="dxa" w:w="6860"/>
            <w:tcMar>
              <w:top w:w="75" w:type="dxa"/>
              <w:start w:w="100" w:type="dxa"/>
              <w:bottom w:w="75" w:type="dxa"/>
              <w:end w:w="100" w:type="dxa"/>
            </w:tcMar>
            <w:vAlign w:val="center"/>
          </w:tcPr>
          <w:p>
            <w:pPr>
              <w:spacing w:after="0" w:line="264" w:lineRule="auto"/>
            </w:pPr>
            <w:r>
              <w:rPr>
                <w:sz w:val="17"/>
              </w:rPr>
              <w:t>80% overall (24/30) and no critical safety/methodology domain below 70%</w:t>
            </w:r>
          </w:p>
        </w:tc>
      </w:tr>
      <w:tr>
        <w:trPr>
          <w:cantSplit/>
          <w:trHeight w:hRule="atLeast"/>
        </w:trPr>
        <w:tc>
          <w:tcPr>
            <w:tcW w:type="dxa" w:w="2500"/>
            <w:tcMar>
              <w:top w:w="75" w:type="dxa"/>
              <w:start w:w="100" w:type="dxa"/>
              <w:bottom w:w="75" w:type="dxa"/>
              <w:end w:w="100" w:type="dxa"/>
            </w:tcMar>
            <w:vAlign w:val="center"/>
          </w:tcPr>
          <w:p>
            <w:pPr>
              <w:spacing w:after="0" w:line="264" w:lineRule="auto"/>
            </w:pPr>
            <w:r>
              <w:rPr>
                <w:sz w:val="17"/>
              </w:rPr>
              <w:t>Credential boundary</w:t>
            </w:r>
          </w:p>
        </w:tc>
        <w:tc>
          <w:tcPr>
            <w:tcW w:type="dxa" w:w="6860"/>
            <w:tcMar>
              <w:top w:w="75" w:type="dxa"/>
              <w:start w:w="100" w:type="dxa"/>
              <w:bottom w:w="75" w:type="dxa"/>
              <w:end w:w="100" w:type="dxa"/>
            </w:tcMar>
            <w:vAlign w:val="center"/>
          </w:tcPr>
          <w:p>
            <w:pPr>
              <w:spacing w:after="0" w:line="264" w:lineRule="auto"/>
            </w:pPr>
            <w:r>
              <w:rPr>
                <w:sz w:val="17"/>
              </w:rPr>
              <w:t>Course completion records support owner-approved decisions; no certificate or authorization is generated by these documents.</w:t>
            </w:r>
          </w:p>
        </w:tc>
      </w:tr>
    </w:tbl>
    <w:p>
      <w:pPr>
        <w:pStyle w:val="Heading1"/>
      </w:pPr>
      <w:r>
        <w:t>L1.1 · Designing a Computational Close Reading</w:t>
      </w:r>
    </w:p>
    <w:p>
      <w:r>
        <w:rPr>
          <w:b/>
        </w:rPr>
        <w:t xml:space="preserve">Module purpose. </w:t>
      </w:r>
      <w:r>
        <w:t>Turn a literary question into a bounded analytical plan in which computation creates evidence for interpretation rather than an automated conclusion.</w:t>
      </w:r>
    </w:p>
    <w:p>
      <w:pPr>
        <w:pStyle w:val="Heading2"/>
      </w:pPr>
      <w:r>
        <w:t>Learning objectives</w:t>
      </w:r>
    </w:p>
    <w:p>
      <w:pPr>
        <w:pStyle w:val="ListBullet"/>
      </w:pPr>
      <w:r>
        <w:t>Separate a research question, an interpretive hypothesis, and an operational measurement question.</w:t>
      </w:r>
    </w:p>
    <w:p>
      <w:pPr>
        <w:pStyle w:val="ListBullet"/>
      </w:pPr>
      <w:r>
        <w:t>Select only metric families that can bear on the proposed claim.</w:t>
      </w:r>
    </w:p>
    <w:p>
      <w:pPr>
        <w:pStyle w:val="ListBullet"/>
      </w:pPr>
      <w:r>
        <w:t>Pre-register an alternative explanation and disconfirming evidence.</w:t>
      </w:r>
    </w:p>
    <w:p>
      <w:pPr>
        <w:pStyle w:val="ListBullet"/>
      </w:pPr>
      <w:r>
        <w:t>Plan a close-reading return to passages, lines, and lexical evidence.</w:t>
      </w:r>
    </w:p>
    <w:p>
      <w:pPr>
        <w:pStyle w:val="Heading2"/>
      </w:pPr>
      <w:r>
        <w:t>Why this method matters</w:t>
      </w:r>
    </w:p>
    <w:p>
      <w:r>
        <w:t>Turn a literary question into a bounded analytical plan in which computation creates evidence for interpretation rather than an automated conclusion.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**A VerseVAD-assisted close reading must preserve the difference between measured lexical or formal evidence and the interpretation built from it.**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1.1 core concepts"/>
        <w:tblDescription w:val="Definitions and operational meanings for Designing a Computational Close Reading."/>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Question ladder</w:t>
            </w:r>
          </w:p>
        </w:tc>
        <w:tc>
          <w:tcPr>
            <w:tcW w:type="dxa" w:w="7160"/>
            <w:tcMar>
              <w:top w:w="75" w:type="dxa"/>
              <w:start w:w="100" w:type="dxa"/>
              <w:bottom w:w="75" w:type="dxa"/>
              <w:end w:w="100" w:type="dxa"/>
            </w:tcMar>
            <w:vAlign w:val="center"/>
          </w:tcPr>
          <w:p>
            <w:pPr>
              <w:spacing w:after="0" w:line="264" w:lineRule="auto"/>
            </w:pPr>
            <w:r>
              <w:rPr>
                <w:sz w:val="17"/>
              </w:rPr>
              <w:t>Begin with a literary problem, identify the textual feature that could illuminate it, then choose a VerseVAD measure with a defensible denominator.</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Triangulation</w:t>
            </w:r>
          </w:p>
        </w:tc>
        <w:tc>
          <w:tcPr>
            <w:tcW w:type="dxa" w:w="7160"/>
            <w:tcMar>
              <w:top w:w="75" w:type="dxa"/>
              <w:start w:w="100" w:type="dxa"/>
              <w:bottom w:w="75" w:type="dxa"/>
              <w:end w:w="100" w:type="dxa"/>
            </w:tcMar>
            <w:vAlign w:val="center"/>
          </w:tcPr>
          <w:p>
            <w:pPr>
              <w:spacing w:after="0" w:line="264" w:lineRule="auto"/>
            </w:pPr>
            <w:r>
              <w:rPr>
                <w:sz w:val="17"/>
              </w:rPr>
              <w:t>A persuasive analysis normally combines a central tendency, distribution or coverage evidence, and local textual examples rather than treating one score as sufficient.</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Counter-reading</w:t>
            </w:r>
          </w:p>
        </w:tc>
        <w:tc>
          <w:tcPr>
            <w:tcW w:type="dxa" w:w="7160"/>
            <w:tcMar>
              <w:top w:w="75" w:type="dxa"/>
              <w:start w:w="100" w:type="dxa"/>
              <w:bottom w:w="75" w:type="dxa"/>
              <w:end w:w="100" w:type="dxa"/>
            </w:tcMar>
            <w:vAlign w:val="center"/>
          </w:tcPr>
          <w:p>
            <w:pPr>
              <w:spacing w:after="0" w:line="264" w:lineRule="auto"/>
            </w:pPr>
            <w:r>
              <w:rPr>
                <w:sz w:val="17"/>
              </w:rPr>
              <w:t>State in advance what result would complicate the preferred reading and what non-computational evidence might explain the measurement.</w:t>
            </w:r>
          </w:p>
        </w:tc>
      </w:tr>
    </w:tbl>
    <w:p>
      <w:pPr>
        <w:pStyle w:val="Heading2"/>
      </w:pPr>
      <w:r>
        <w:t>Guided VerseVAD workflow</w:t>
      </w:r>
    </w:p>
    <w:p>
      <w:pPr>
        <w:pStyle w:val="ListNumber"/>
      </w:pPr>
      <w:r>
        <w:t>Write the literary question without metric names.</w:t>
      </w:r>
    </w:p>
    <w:p>
      <w:pPr>
        <w:pStyle w:val="ListNumber"/>
      </w:pPr>
      <w:r>
        <w:t>Name the vocabulary, structural, or sound phenomenon that would matter to that question.</w:t>
      </w:r>
    </w:p>
    <w:p>
      <w:pPr>
        <w:pStyle w:val="ListNumber"/>
      </w:pPr>
      <w:r>
        <w:t>Choose the smallest analysis profile that supplies the needed evidence.</w:t>
      </w:r>
    </w:p>
    <w:p>
      <w:pPr>
        <w:pStyle w:val="ListNumber"/>
      </w:pPr>
      <w:r>
        <w:t>Record weighting, stopword, source, and coverage decisions before inspecting the result.</w:t>
      </w:r>
    </w:p>
    <w:p>
      <w:pPr>
        <w:pStyle w:val="ListNumber"/>
      </w:pPr>
      <w:r>
        <w:t>Inspect evidence and diagnostics, then return to at least two passages.</w:t>
      </w:r>
    </w:p>
    <w:p>
      <w:pPr>
        <w:pStyle w:val="ListNumber"/>
      </w:pPr>
      <w:r>
        <w:t>Write a claim that includes support, challenge, and limitation.</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researcher argues that a public-domain elegy creates restraint by alternating emotionally charged diction with concrete ordinary objects. They are tempted to cite only mean valence."/>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researcher argues that a public-domain elegy creates restraint by alternating emotionally charged diction with concrete ordinary objects. They are tempted to cite only mean valence.</w:t>
            </w:r>
          </w:p>
        </w:tc>
      </w:tr>
    </w:tbl>
    <w:p>
      <w:pPr>
        <w:spacing w:after="0"/>
      </w:pPr>
    </w:p>
    <w:p>
      <w:pPr>
        <w:pStyle w:val="ListBullet"/>
      </w:pPr>
      <w:r>
        <w:t>Rewrite the claim as a researchable question.</w:t>
      </w:r>
    </w:p>
    <w:p>
      <w:pPr>
        <w:pStyle w:val="ListBullet"/>
      </w:pPr>
      <w:r>
        <w:t>Choose three metric families and explain what each contributes.</w:t>
      </w:r>
    </w:p>
    <w:p>
      <w:pPr>
        <w:pStyle w:val="ListBullet"/>
      </w:pPr>
      <w:r>
        <w:t>Name one result that would challenge the hypothesis.</w:t>
      </w:r>
    </w:p>
    <w:p>
      <w:pPr>
        <w:pStyle w:val="ListBullet"/>
      </w:pPr>
      <w:r>
        <w:t>Specify the passage-level evidence that must still be read closely.</w:t>
      </w:r>
    </w:p>
    <w:p>
      <w:pPr>
        <w:pStyle w:val="Heading2"/>
      </w:pPr>
      <w:r>
        <w:t>Interpretation protocol</w:t>
      </w:r>
    </w:p>
    <w:p>
      <w:pPr>
        <w:pStyle w:val="ListNumber"/>
      </w:pPr>
      <w:r>
        <w:t>State what the metric actually measures.</w:t>
      </w:r>
    </w:p>
    <w:p>
      <w:pPr>
        <w:pStyle w:val="ListNumber"/>
      </w:pPr>
      <w:r>
        <w:t>Name the selected source and analysis view.</w:t>
      </w:r>
    </w:p>
    <w:p>
      <w:pPr>
        <w:pStyle w:val="ListNumber"/>
      </w:pPr>
      <w:r>
        <w:t>Connect the aggregate to local language.</w:t>
      </w:r>
    </w:p>
    <w:p>
      <w:pPr>
        <w:pStyle w:val="ListNumber"/>
      </w:pPr>
      <w:r>
        <w:t>Offer at least one rival explanation.</w:t>
      </w:r>
    </w:p>
    <w:p>
      <w:r>
        <w:rPr>
          <w:b/>
        </w:rPr>
        <w:t xml:space="preserve">Model decision. </w:t>
      </w:r>
      <w:r>
        <w:t>Define the literary question first, select a limited metric set, inspect denominators, and plan passage-level confirmation and counterevidence.</w:t>
      </w:r>
    </w:p>
    <w:p>
      <w:pPr>
        <w:pStyle w:val="Heading2"/>
      </w:pPr>
      <w:r>
        <w:t>Limitations and common failure modes</w:t>
      </w:r>
    </w:p>
    <w:p>
      <w:pPr>
        <w:pStyle w:val="ListBullet"/>
      </w:pPr>
      <w:r>
        <w:t>A computationally convenient question may not be the most important literary question.</w:t>
      </w:r>
    </w:p>
    <w:p>
      <w:pPr>
        <w:pStyle w:val="ListBullet"/>
      </w:pPr>
      <w:r>
        <w:t>A broad profile can produce post-hoc pattern hunting.</w:t>
      </w:r>
    </w:p>
    <w:p>
      <w:pPr>
        <w:pStyle w:val="ListBullet"/>
      </w:pPr>
      <w:r>
        <w:t>Aggregate evidence may obscure strategically placed exceptions.</w:t>
      </w:r>
    </w:p>
    <w:p>
      <w:r>
        <w:rPr>
          <w:b/>
        </w:rPr>
        <w:t xml:space="preserve">Reject these shortcuts: </w:t>
      </w:r>
      <w:r>
        <w:t>Enable every module and report whichever score appears most dramatic.; Treat the numerical result as the conclusion and omit the poem's language.; Choose a metric after deciding which value would prove the thesis..</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A VerseVAD-assisted close reading must preserve the difference between measured lexical or formal evidence and the interpretation built from it.</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L1.2 · Preprocessing as Method</w:t>
      </w:r>
    </w:p>
    <w:p>
      <w:r>
        <w:rPr>
          <w:b/>
        </w:rPr>
        <w:t xml:space="preserve">Module purpose. </w:t>
      </w:r>
      <w:r>
        <w:t>Treat text preparation, eligibility, tokenization, lemmatization, stopwords, and weighting as scholarly decisions with visible consequences.</w:t>
      </w:r>
    </w:p>
    <w:p>
      <w:pPr>
        <w:pStyle w:val="Heading2"/>
      </w:pPr>
      <w:r>
        <w:t>Learning objectives</w:t>
      </w:r>
    </w:p>
    <w:p>
      <w:pPr>
        <w:pStyle w:val="ListBullet"/>
      </w:pPr>
      <w:r>
        <w:t>Preserve the approved source while distinguishing it from the processing representation.</w:t>
      </w:r>
    </w:p>
    <w:p>
      <w:pPr>
        <w:pStyle w:val="ListBullet"/>
      </w:pPr>
      <w:r>
        <w:t>Explain surface-form, normalized-form, and POS-aware lemma matching.</w:t>
      </w:r>
    </w:p>
    <w:p>
      <w:pPr>
        <w:pStyle w:val="ListBullet"/>
      </w:pPr>
      <w:r>
        <w:t>Compare token/type weighting and stopword policies without collapsing their meanings.</w:t>
      </w:r>
    </w:p>
    <w:p>
      <w:pPr>
        <w:pStyle w:val="ListBullet"/>
      </w:pPr>
      <w:r>
        <w:t>Audit contractions, archaic forms, punctuation, and unmatched evidence.</w:t>
      </w:r>
    </w:p>
    <w:p>
      <w:pPr>
        <w:pStyle w:val="Heading2"/>
      </w:pPr>
      <w:r>
        <w:t>Why this method matters</w:t>
      </w:r>
    </w:p>
    <w:p>
      <w:r>
        <w:t>Treat text preparation, eligibility, tokenization, lemmatization, stopwords, and weighting as scholarly decisions with visible consequences.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**Never alter the source text merely to improve coverage or make two works easier to compare.**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1.2 core concepts"/>
        <w:tblDescription w:val="Definitions and operational meanings for Preprocessing as Method."/>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Source versus processing text</w:t>
            </w:r>
          </w:p>
        </w:tc>
        <w:tc>
          <w:tcPr>
            <w:tcW w:type="dxa" w:w="7160"/>
            <w:tcMar>
              <w:top w:w="75" w:type="dxa"/>
              <w:start w:w="100" w:type="dxa"/>
              <w:bottom w:w="75" w:type="dxa"/>
              <w:end w:w="100" w:type="dxa"/>
            </w:tcMar>
            <w:vAlign w:val="center"/>
          </w:tcPr>
          <w:p>
            <w:pPr>
              <w:spacing w:after="0" w:line="264" w:lineRule="auto"/>
            </w:pPr>
            <w:r>
              <w:rPr>
                <w:sz w:val="17"/>
              </w:rPr>
              <w:t>VerseVAD keeps the supplied text intact and records normalization separately; editorial modernization is not a harmless preprocessing default.</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Match hierarchy</w:t>
            </w:r>
          </w:p>
        </w:tc>
        <w:tc>
          <w:tcPr>
            <w:tcW w:type="dxa" w:w="7160"/>
            <w:tcMar>
              <w:top w:w="75" w:type="dxa"/>
              <w:start w:w="100" w:type="dxa"/>
              <w:bottom w:w="75" w:type="dxa"/>
              <w:end w:w="100" w:type="dxa"/>
            </w:tcMar>
            <w:vAlign w:val="center"/>
          </w:tcPr>
          <w:p>
            <w:pPr>
              <w:spacing w:after="0" w:line="264" w:lineRule="auto"/>
            </w:pPr>
            <w:r>
              <w:rPr>
                <w:sz w:val="17"/>
              </w:rPr>
              <w:t>Exact normalized surface matches precede POS-sensitive lemma fallback, and the method used remains auditable.</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Eligibility</w:t>
            </w:r>
          </w:p>
        </w:tc>
        <w:tc>
          <w:tcPr>
            <w:tcW w:type="dxa" w:w="7160"/>
            <w:tcMar>
              <w:top w:w="75" w:type="dxa"/>
              <w:start w:w="100" w:type="dxa"/>
              <w:bottom w:w="75" w:type="dxa"/>
              <w:end w:w="100" w:type="dxa"/>
            </w:tcMar>
            <w:vAlign w:val="center"/>
          </w:tcPr>
          <w:p>
            <w:pPr>
              <w:spacing w:after="0" w:line="264" w:lineRule="auto"/>
            </w:pPr>
            <w:r>
              <w:rPr>
                <w:sz w:val="17"/>
              </w:rPr>
              <w:t>Coverage denominators depend on the retained population. A high percentage under one policy is not interchangeable with a high percentage under another.</w:t>
            </w:r>
          </w:p>
        </w:tc>
      </w:tr>
    </w:tbl>
    <w:p>
      <w:pPr>
        <w:pStyle w:val="Heading2"/>
      </w:pPr>
      <w:r>
        <w:t>Guided VerseVAD workflow</w:t>
      </w:r>
    </w:p>
    <w:p>
      <w:pPr>
        <w:pStyle w:val="ListNumber"/>
      </w:pPr>
      <w:r>
        <w:t>Verify the poem against an approved edition and preserve lineation.</w:t>
      </w:r>
    </w:p>
    <w:p>
      <w:pPr>
        <w:pStyle w:val="ListNumber"/>
      </w:pPr>
      <w:r>
        <w:t>Record title, author, source, and any editorial intervention.</w:t>
      </w:r>
    </w:p>
    <w:p>
      <w:pPr>
        <w:pStyle w:val="ListNumber"/>
      </w:pPr>
      <w:r>
        <w:t>Apply one shared profile and inspect preprocessing settings.</w:t>
      </w:r>
    </w:p>
    <w:p>
      <w:pPr>
        <w:pStyle w:val="ListNumber"/>
      </w:pPr>
      <w:r>
        <w:t>Run token-weighted/all-matched and a planned sensitivity view only when the question requires both.</w:t>
      </w:r>
    </w:p>
    <w:p>
      <w:pPr>
        <w:pStyle w:val="ListNumber"/>
      </w:pPr>
      <w:r>
        <w:t>Inspect contractions, unmatched forms, lemmas, and exclusions in Evidence &amp; Diagnostics.</w:t>
      </w:r>
    </w:p>
    <w:p>
      <w:pPr>
        <w:pStyle w:val="ListNumber"/>
      </w:pPr>
      <w:r>
        <w:t>Document which results are robust to the alternate preprocessing view.</w:t>
      </w:r>
    </w:p>
    <w:p>
      <w:pPr>
        <w:keepNext/>
        <w:jc w:val="center"/>
      </w:pPr>
      <w:r/>
    </w:p>
    <w:p>
      <w:pPr>
        <w:pStyle w:val="Caption"/>
        <w:jc w:val="center"/>
      </w:pPr>
      <w:r>
        <w:t>Figure 1. A selected profile establishes shared defaults before deliberate customization.</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Two editions differ in apostrophes, indentation, and the spelling of an archaic verb. The analyst silently modernizes both before comparing sound and lexical evidence."/>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Two editions differ in apostrophes, indentation, and the spelling of an archaic verb. The analyst silently modernizes both before comparing sound and lexical evidence.</w:t>
            </w:r>
          </w:p>
        </w:tc>
      </w:tr>
    </w:tbl>
    <w:p>
      <w:pPr>
        <w:spacing w:after="0"/>
      </w:pPr>
    </w:p>
    <w:p>
      <w:pPr>
        <w:pStyle w:val="ListBullet"/>
      </w:pPr>
      <w:r>
        <w:t>Identify which changes may affect lexical lookup, syllables, or structure.</w:t>
      </w:r>
    </w:p>
    <w:p>
      <w:pPr>
        <w:pStyle w:val="ListBullet"/>
      </w:pPr>
      <w:r>
        <w:t>Design a source-preserving comparison protocol.</w:t>
      </w:r>
    </w:p>
    <w:p>
      <w:pPr>
        <w:pStyle w:val="ListBullet"/>
      </w:pPr>
      <w:r>
        <w:t>Explain what token and type weighting would each reveal.</w:t>
      </w:r>
    </w:p>
    <w:p>
      <w:pPr>
        <w:pStyle w:val="ListBullet"/>
      </w:pPr>
      <w:r>
        <w:t>Write a reproducibility note for the chosen edition.</w:t>
      </w:r>
    </w:p>
    <w:p>
      <w:pPr>
        <w:pStyle w:val="Heading2"/>
      </w:pPr>
      <w:r>
        <w:t>Interpretation protocol</w:t>
      </w:r>
    </w:p>
    <w:p>
      <w:pPr>
        <w:pStyle w:val="ListNumber"/>
      </w:pPr>
      <w:r>
        <w:t>Treat changed denominators as part of the result.</w:t>
      </w:r>
    </w:p>
    <w:p>
      <w:pPr>
        <w:pStyle w:val="ListNumber"/>
      </w:pPr>
      <w:r>
        <w:t>Distinguish repeated diction from vocabulary inventory.</w:t>
      </w:r>
    </w:p>
    <w:p>
      <w:pPr>
        <w:pStyle w:val="ListNumber"/>
      </w:pPr>
      <w:r>
        <w:t>Report lemma fallback rather than describing it as an exact word match.</w:t>
      </w:r>
    </w:p>
    <w:p>
      <w:pPr>
        <w:pStyle w:val="ListNumber"/>
      </w:pPr>
      <w:r>
        <w:t>Retain unresolved evidence rather than forcing a value.</w:t>
      </w:r>
    </w:p>
    <w:p>
      <w:r>
        <w:rPr>
          <w:b/>
        </w:rPr>
        <w:t xml:space="preserve">Model decision. </w:t>
      </w:r>
      <w:r>
        <w:t>Preserve each edition, document differences, inspect the traceable processing representation, and use matched settings for any comparison.</w:t>
      </w:r>
    </w:p>
    <w:p>
      <w:pPr>
        <w:pStyle w:val="Heading2"/>
      </w:pPr>
      <w:r>
        <w:t>Limitations and common failure modes</w:t>
      </w:r>
    </w:p>
    <w:p>
      <w:pPr>
        <w:pStyle w:val="ListBullet"/>
      </w:pPr>
      <w:r>
        <w:t>POS models can be uncertain on poetic syntax and archaic language.</w:t>
      </w:r>
    </w:p>
    <w:p>
      <w:pPr>
        <w:pStyle w:val="ListBullet"/>
      </w:pPr>
      <w:r>
        <w:t>Stopword lists encode a language-processing convention, not a universal literary category.</w:t>
      </w:r>
    </w:p>
    <w:p>
      <w:pPr>
        <w:pStyle w:val="ListBullet"/>
      </w:pPr>
      <w:r>
        <w:t>Lemmatization can reduce meaningful morphological or historical distinctions.</w:t>
      </w:r>
    </w:p>
    <w:p>
      <w:r>
        <w:rPr>
          <w:b/>
        </w:rPr>
        <w:t xml:space="preserve">Reject these shortcuts: </w:t>
      </w:r>
      <w:r>
        <w:t>Modernize spelling and punctuation until all sources produce the same tokens.; Use token weighting for one poem and type weighting for the other.; Convert every unmatched item to a neutral score before comparison..</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Never alter the source text merely to improve coverage or make two works easier to compare.</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L1.3 · Advanced VAD, Emotion, and Sentiment</w:t>
      </w:r>
    </w:p>
    <w:p>
      <w:r>
        <w:rPr>
          <w:b/>
        </w:rPr>
        <w:t xml:space="preserve">Module purpose. </w:t>
      </w:r>
      <w:r>
        <w:t>Interpret affective lexical evidence across VAD means and dispersion, cumulative load, NRC association and intensity, VADER sentiment, and PoetryID without conflating constructs.</w:t>
      </w:r>
    </w:p>
    <w:p>
      <w:pPr>
        <w:pStyle w:val="Heading2"/>
      </w:pPr>
      <w:r>
        <w:t>Learning objectives</w:t>
      </w:r>
    </w:p>
    <w:p>
      <w:pPr>
        <w:pStyle w:val="ListBullet"/>
      </w:pPr>
      <w:r>
        <w:t>Distinguish valence, arousal, dominance, categorical association, pair intensity, and rule-based sentiment.</w:t>
      </w:r>
    </w:p>
    <w:p>
      <w:pPr>
        <w:pStyle w:val="ListBullet"/>
      </w:pPr>
      <w:r>
        <w:t>Order evidence as mean, cumulative load, then within-poem dispersion.</w:t>
      </w:r>
    </w:p>
    <w:p>
      <w:pPr>
        <w:pStyle w:val="ListBullet"/>
      </w:pPr>
      <w:r>
        <w:t>Explain why NRC emotion proportions may overlap and need not sum to 100 percent.</w:t>
      </w:r>
    </w:p>
    <w:p>
      <w:pPr>
        <w:pStyle w:val="ListBullet"/>
      </w:pPr>
      <w:r>
        <w:t>Use PoetryID category fit and nearest centroid as candidate profiles, not diagnoses.</w:t>
      </w:r>
    </w:p>
    <w:p>
      <w:pPr>
        <w:pStyle w:val="Heading2"/>
      </w:pPr>
      <w:r>
        <w:t>Why this method matters</w:t>
      </w:r>
    </w:p>
    <w:p>
      <w:r>
        <w:t>Interpret affective lexical evidence across VAD means and dispersion, cumulative load, NRC association and intensity, VADER sentiment, and PoetryID without conflating constructs.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**Do not turn lexical association scores into claims that the poem, speaker, author, or reader actually feels a diagnosed emotion.**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1.3 core concepts"/>
        <w:tblDescription w:val="Definitions and operational meanings for Advanced VAD, Emotion, and Sentiment."/>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Central tendency and spread</w:t>
            </w:r>
          </w:p>
        </w:tc>
        <w:tc>
          <w:tcPr>
            <w:tcW w:type="dxa" w:w="7160"/>
            <w:tcMar>
              <w:top w:w="75" w:type="dxa"/>
              <w:start w:w="100" w:type="dxa"/>
              <w:bottom w:w="75" w:type="dxa"/>
              <w:end w:w="100" w:type="dxa"/>
            </w:tcMar>
            <w:vAlign w:val="center"/>
          </w:tcPr>
          <w:p>
            <w:pPr>
              <w:spacing w:after="0" w:line="264" w:lineRule="auto"/>
            </w:pPr>
            <w:r>
              <w:rPr>
                <w:sz w:val="17"/>
              </w:rPr>
              <w:t>A mean describes the center of matched ratings; within-poem standard deviation describes their spread and is not uncertainty in the mean.</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Accumulation</w:t>
            </w:r>
          </w:p>
        </w:tc>
        <w:tc>
          <w:tcPr>
            <w:tcW w:type="dxa" w:w="7160"/>
            <w:tcMar>
              <w:top w:w="75" w:type="dxa"/>
              <w:start w:w="100" w:type="dxa"/>
              <w:bottom w:w="75" w:type="dxa"/>
              <w:end w:w="100" w:type="dxa"/>
            </w:tcMar>
            <w:vAlign w:val="center"/>
          </w:tcPr>
          <w:p>
            <w:pPr>
              <w:spacing w:after="0" w:line="264" w:lineRule="auto"/>
            </w:pPr>
            <w:r>
              <w:rPr>
                <w:sz w:val="17"/>
              </w:rPr>
              <w:t>Cumulative lexical load retains repetition and length. A per-100-observation counterpart is better for normalized comparison.</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Separate affective models</w:t>
            </w:r>
          </w:p>
        </w:tc>
        <w:tc>
          <w:tcPr>
            <w:tcW w:type="dxa" w:w="7160"/>
            <w:tcMar>
              <w:top w:w="75" w:type="dxa"/>
              <w:start w:w="100" w:type="dxa"/>
              <w:bottom w:w="75" w:type="dxa"/>
              <w:end w:w="100" w:type="dxa"/>
            </w:tcMar>
            <w:vAlign w:val="center"/>
          </w:tcPr>
          <w:p>
            <w:pPr>
              <w:spacing w:after="0" w:line="264" w:lineRule="auto"/>
            </w:pPr>
            <w:r>
              <w:rPr>
                <w:sz w:val="17"/>
              </w:rPr>
              <w:t>NRC associations, NRC pair intensities, VADER sentence polarity, and VAD ratings have different source structures and denominators.</w:t>
            </w:r>
          </w:p>
        </w:tc>
      </w:tr>
    </w:tbl>
    <w:p>
      <w:pPr>
        <w:pStyle w:val="Heading2"/>
      </w:pPr>
      <w:r>
        <w:t>Guided VerseVAD workflow</w:t>
      </w:r>
    </w:p>
    <w:p>
      <w:pPr>
        <w:pStyle w:val="ListNumber"/>
      </w:pPr>
      <w:r>
        <w:t>Confirm the preferred VAD source and active weighting/view.</w:t>
      </w:r>
    </w:p>
    <w:p>
      <w:pPr>
        <w:pStyle w:val="ListNumber"/>
      </w:pPr>
      <w:r>
        <w:t>Read coverage before comparing means.</w:t>
      </w:r>
    </w:p>
    <w:p>
      <w:pPr>
        <w:pStyle w:val="ListNumber"/>
      </w:pPr>
      <w:r>
        <w:t>Inspect cumulative loads for repetition-sensitive emphasis and normalize when comparing lengths.</w:t>
      </w:r>
    </w:p>
    <w:p>
      <w:pPr>
        <w:pStyle w:val="ListNumber"/>
      </w:pPr>
      <w:r>
        <w:t>Inspect dispersion for internal heterogeneity.</w:t>
      </w:r>
    </w:p>
    <w:p>
      <w:pPr>
        <w:pStyle w:val="ListNumber"/>
      </w:pPr>
      <w:r>
        <w:t>Compare association prevalence with intensity among supplied pairs without averaging them together.</w:t>
      </w:r>
    </w:p>
    <w:p>
      <w:pPr>
        <w:pStyle w:val="ListNumber"/>
      </w:pPr>
      <w:r>
        <w:t>Return to high-contribution words and sentences before making an interpretive claim.</w:t>
      </w:r>
    </w:p>
    <w:p>
      <w:pPr>
        <w:keepNext/>
        <w:jc w:val="center"/>
      </w:pPr>
      <w:r/>
    </w:p>
    <w:p>
      <w:pPr>
        <w:pStyle w:val="Caption"/>
        <w:jc w:val="center"/>
      </w:pPr>
      <w:r>
        <w:t>Figure 2. VAD evidence is read with source, weighting, scale, coverage, and dispersion.</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poem has moderate mean valence, high absolute valence load, broad valence dispersion, and overlapping joy and sadness associations. A reader calls the result contradictory."/>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poem has moderate mean valence, high absolute valence load, broad valence dispersion, and overlapping joy and sadness associations. A reader calls the result contradictory.</w:t>
            </w:r>
          </w:p>
        </w:tc>
      </w:tr>
    </w:tbl>
    <w:p>
      <w:pPr>
        <w:spacing w:after="0"/>
      </w:pPr>
    </w:p>
    <w:p>
      <w:pPr>
        <w:pStyle w:val="ListBullet"/>
      </w:pPr>
      <w:r>
        <w:t>Explain how all four findings can coexist.</w:t>
      </w:r>
    </w:p>
    <w:p>
      <w:pPr>
        <w:pStyle w:val="ListBullet"/>
      </w:pPr>
      <w:r>
        <w:t>Choose which display should be length normalized for a second poem.</w:t>
      </w:r>
    </w:p>
    <w:p>
      <w:pPr>
        <w:pStyle w:val="ListBullet"/>
      </w:pPr>
      <w:r>
        <w:t>Write one responsible interpretive sentence and one caution.</w:t>
      </w:r>
    </w:p>
    <w:p>
      <w:pPr>
        <w:pStyle w:val="ListBullet"/>
      </w:pPr>
      <w:r>
        <w:t>Identify what sentence-level VADER can and cannot add.</w:t>
      </w:r>
    </w:p>
    <w:p>
      <w:pPr>
        <w:pStyle w:val="Heading2"/>
      </w:pPr>
      <w:r>
        <w:t>Interpretation protocol</w:t>
      </w:r>
    </w:p>
    <w:p>
      <w:pPr>
        <w:pStyle w:val="ListNumber"/>
      </w:pPr>
      <w:r>
        <w:t>Name the lexicon and its scale.</w:t>
      </w:r>
    </w:p>
    <w:p>
      <w:pPr>
        <w:pStyle w:val="ListNumber"/>
      </w:pPr>
      <w:r>
        <w:t>Keep association prevalence separate from supplied-pair intensity.</w:t>
      </w:r>
    </w:p>
    <w:p>
      <w:pPr>
        <w:pStyle w:val="ListNumber"/>
      </w:pPr>
      <w:r>
        <w:t>Treat PoetryID labels as nearest candidate descriptions.</w:t>
      </w:r>
    </w:p>
    <w:p>
      <w:pPr>
        <w:pStyle w:val="ListNumber"/>
      </w:pPr>
      <w:r>
        <w:t>Use local lexical evidence to explain aggregate tension.</w:t>
      </w:r>
    </w:p>
    <w:p>
      <w:r>
        <w:rPr>
          <w:b/>
        </w:rPr>
        <w:t xml:space="preserve">Model decision. </w:t>
      </w:r>
      <w:r>
        <w:t>Interpret each affective construct with its own denominator, then use local evidence to explain how central tendency, repetition, and dispersion interact.</w:t>
      </w:r>
    </w:p>
    <w:p>
      <w:pPr>
        <w:pStyle w:val="Heading2"/>
      </w:pPr>
      <w:r>
        <w:t>Limitations and common failure modes</w:t>
      </w:r>
    </w:p>
    <w:p>
      <w:pPr>
        <w:pStyle w:val="ListBullet"/>
      </w:pPr>
      <w:r>
        <w:t>Normative word ratings do not model negation, irony, metaphor, speaker, or historical semantic change fully.</w:t>
      </w:r>
    </w:p>
    <w:p>
      <w:pPr>
        <w:pStyle w:val="ListBullet"/>
      </w:pPr>
      <w:r>
        <w:t>VADER was designed for general sentiment and is orientation evidence in poetry.</w:t>
      </w:r>
    </w:p>
    <w:p>
      <w:pPr>
        <w:pStyle w:val="ListBullet"/>
      </w:pPr>
      <w:r>
        <w:t>Different VAD lexicons should not be pooled without a declared transformation.</w:t>
      </w:r>
    </w:p>
    <w:p>
      <w:r>
        <w:rPr>
          <w:b/>
        </w:rPr>
        <w:t xml:space="preserve">Reject these shortcuts: </w:t>
      </w:r>
      <w:r>
        <w:t>Average VAD, emotion association, and VADER into one master emotion score.; Treat overlapping NRC categories as a calculation error.; Describe within-poem standard deviation as confidence in the mean..</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Do not turn lexical association scores into claims that the poem, speaker, author, or reader actually feels a diagnosed emotion.</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L1.4 · Concreteness, Sensorimotor, Embodiment, Frequency, and AoA</w:t>
      </w:r>
    </w:p>
    <w:p>
      <w:r>
        <w:rPr>
          <w:b/>
        </w:rPr>
        <w:t xml:space="preserve">Module purpose. </w:t>
      </w:r>
      <w:r>
        <w:t>Build a multidimensional account of lexical character while respecting source coverage, scales, and the difference between linguistic accessibility and interpretive difficulty.</w:t>
      </w:r>
    </w:p>
    <w:p>
      <w:pPr>
        <w:pStyle w:val="Heading2"/>
      </w:pPr>
      <w:r>
        <w:t>Learning objectives</w:t>
      </w:r>
    </w:p>
    <w:p>
      <w:pPr>
        <w:pStyle w:val="ListBullet"/>
      </w:pPr>
      <w:r>
        <w:t>Interpret concreteness and Lancaster sensorimotor or embodiment dimensions as normative associations.</w:t>
      </w:r>
    </w:p>
    <w:p>
      <w:pPr>
        <w:pStyle w:val="ListBullet"/>
      </w:pPr>
      <w:r>
        <w:t>Read SUBTLEX Zipf frequency and VerseVAD rarity in the correct direction.</w:t>
      </w:r>
    </w:p>
    <w:p>
      <w:pPr>
        <w:pStyle w:val="ListBullet"/>
      </w:pPr>
      <w:r>
        <w:t>Interpret Age of Acquisition as a retrospective norm rather than a reader's measured age.</w:t>
      </w:r>
    </w:p>
    <w:p>
      <w:pPr>
        <w:pStyle w:val="ListBullet"/>
      </w:pPr>
      <w:r>
        <w:t>Use VV-PRE component scores and confidence without treating them as literary quality.</w:t>
      </w:r>
    </w:p>
    <w:p>
      <w:pPr>
        <w:pStyle w:val="Heading2"/>
      </w:pPr>
      <w:r>
        <w:t>Why this method matters</w:t>
      </w:r>
    </w:p>
    <w:p>
      <w:r>
        <w:t>Build a multidimensional account of lexical character while respecting source coverage, scales, and the difference between linguistic accessibility and interpretive difficulty.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**A high VV-PRE or high concreteness score must never be presented as proof that a poem is aesthetically or interpretively simple.**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1.4 core concepts"/>
        <w:tblDescription w:val="Definitions and operational meanings for Concreteness, Sensorimotor, Embodiment, Frequency, and AoA."/>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Lexical character</w:t>
            </w:r>
          </w:p>
        </w:tc>
        <w:tc>
          <w:tcPr>
            <w:tcW w:type="dxa" w:w="7160"/>
            <w:tcMar>
              <w:top w:w="75" w:type="dxa"/>
              <w:start w:w="100" w:type="dxa"/>
              <w:bottom w:w="75" w:type="dxa"/>
              <w:end w:w="100" w:type="dxa"/>
            </w:tcMar>
            <w:vAlign w:val="center"/>
          </w:tcPr>
          <w:p>
            <w:pPr>
              <w:spacing w:after="0" w:line="264" w:lineRule="auto"/>
            </w:pPr>
            <w:r>
              <w:rPr>
                <w:sz w:val="17"/>
              </w:rPr>
              <w:t>Concreteness, perceptual/action strength, frequency, and AoA describe different properties and should remain visible as separate evidence families.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Directionality</w:t>
            </w:r>
          </w:p>
        </w:tc>
        <w:tc>
          <w:tcPr>
            <w:tcW w:type="dxa" w:w="7160"/>
            <w:tcMar>
              <w:top w:w="75" w:type="dxa"/>
              <w:start w:w="100" w:type="dxa"/>
              <w:bottom w:w="75" w:type="dxa"/>
              <w:end w:w="100" w:type="dxa"/>
            </w:tcMar>
            <w:vAlign w:val="center"/>
          </w:tcPr>
          <w:p>
            <w:pPr>
              <w:spacing w:after="0" w:line="264" w:lineRule="auto"/>
            </w:pPr>
            <w:r>
              <w:rPr>
                <w:sz w:val="17"/>
              </w:rPr>
              <w:t>Higher Zipf means more frequent vocabulary; VerseVAD rarity reverses that direction so higher displayed rarity means rarer matched diction.</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VV-PRE</w:t>
            </w:r>
          </w:p>
        </w:tc>
        <w:tc>
          <w:tcPr>
            <w:tcW w:type="dxa" w:w="7160"/>
            <w:tcMar>
              <w:top w:w="75" w:type="dxa"/>
              <w:start w:w="100" w:type="dxa"/>
              <w:bottom w:w="75" w:type="dxa"/>
              <w:end w:w="100" w:type="dxa"/>
            </w:tcMar>
            <w:vAlign w:val="center"/>
          </w:tcPr>
          <w:p>
            <w:pPr>
              <w:spacing w:after="0" w:line="264" w:lineRule="auto"/>
            </w:pPr>
            <w:r>
              <w:rPr>
                <w:sz w:val="17"/>
              </w:rPr>
              <w:t>The experimental 0–100 surface-accessibility composite uses frequency, AoA, words per nonblank line, and estimated syllables per word; its component coverage governs confidence.</w:t>
            </w:r>
          </w:p>
        </w:tc>
      </w:tr>
    </w:tbl>
    <w:p>
      <w:pPr>
        <w:pStyle w:val="Heading2"/>
      </w:pPr>
      <w:r>
        <w:t>Guided VerseVAD workflow</w:t>
      </w:r>
    </w:p>
    <w:p>
      <w:pPr>
        <w:pStyle w:val="ListNumber"/>
      </w:pPr>
      <w:r>
        <w:t>Choose the lexical source required by the question and confirm it is installed.</w:t>
      </w:r>
    </w:p>
    <w:p>
      <w:pPr>
        <w:pStyle w:val="ListNumber"/>
      </w:pPr>
      <w:r>
        <w:t>Read mean evidence before cumulative load and dispersion.</w:t>
      </w:r>
    </w:p>
    <w:p>
      <w:pPr>
        <w:pStyle w:val="ListNumber"/>
      </w:pPr>
      <w:r>
        <w:t>Inspect modality or effector proportions only against the eligible matched denominator.</w:t>
      </w:r>
    </w:p>
    <w:p>
      <w:pPr>
        <w:pStyle w:val="ListNumber"/>
      </w:pPr>
      <w:r>
        <w:t>Compare frequency and rarity without reporting them as independent source observations.</w:t>
      </w:r>
    </w:p>
    <w:p>
      <w:pPr>
        <w:pStyle w:val="ListNumber"/>
      </w:pPr>
      <w:r>
        <w:t>Open VV-PRE components and identify which component drives the score.</w:t>
      </w:r>
    </w:p>
    <w:p>
      <w:pPr>
        <w:pStyle w:val="ListNumber"/>
      </w:pPr>
      <w:r>
        <w:t>Return to words and lines that support or complicate the surface-accessibility account.</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short imagist poem receives high concreteness, moderate visual strength, common vocabulary, and a high VV-PRE score. A student concludes that it is simple and lacks interpretive complexity."/>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short imagist poem receives high concreteness, moderate visual strength, common vocabulary, and a high VV-PRE score. A student concludes that it is simple and lacks interpretive complexity.</w:t>
            </w:r>
          </w:p>
        </w:tc>
      </w:tr>
    </w:tbl>
    <w:p>
      <w:pPr>
        <w:spacing w:after="0"/>
      </w:pPr>
    </w:p>
    <w:p>
      <w:pPr>
        <w:pStyle w:val="ListBullet"/>
      </w:pPr>
      <w:r>
        <w:t>Separate surface lexical accessibility from figurative or historical complexity.</w:t>
      </w:r>
    </w:p>
    <w:p>
      <w:pPr>
        <w:pStyle w:val="ListBullet"/>
      </w:pPr>
      <w:r>
        <w:t>Identify a plausible reason concreteness and visual strength are not identical.</w:t>
      </w:r>
    </w:p>
    <w:p>
      <w:pPr>
        <w:pStyle w:val="ListBullet"/>
      </w:pPr>
      <w:r>
        <w:t>Explain the frequency-to-rarity direction.</w:t>
      </w:r>
    </w:p>
    <w:p>
      <w:pPr>
        <w:pStyle w:val="ListBullet"/>
      </w:pPr>
      <w:r>
        <w:t>Write a limitation statement tied to coverage.</w:t>
      </w:r>
    </w:p>
    <w:p>
      <w:pPr>
        <w:pStyle w:val="Heading2"/>
      </w:pPr>
      <w:r>
        <w:t>Interpretation protocol</w:t>
      </w:r>
    </w:p>
    <w:p>
      <w:pPr>
        <w:pStyle w:val="ListNumber"/>
      </w:pPr>
      <w:r>
        <w:t>Use 'matched vocabulary is normatively associated with' language.</w:t>
      </w:r>
    </w:p>
    <w:p>
      <w:pPr>
        <w:pStyle w:val="ListNumber"/>
      </w:pPr>
      <w:r>
        <w:t>Inspect per-source coverage before cross-poem comparison.</w:t>
      </w:r>
    </w:p>
    <w:p>
      <w:pPr>
        <w:pStyle w:val="ListNumber"/>
      </w:pPr>
      <w:r>
        <w:t>Read VV-PRE components rather than only its band label.</w:t>
      </w:r>
    </w:p>
    <w:p>
      <w:pPr>
        <w:pStyle w:val="ListNumber"/>
      </w:pPr>
      <w:r>
        <w:t>Distinguish lexical familiarity from conceptual familiarity.</w:t>
      </w:r>
    </w:p>
    <w:p>
      <w:r>
        <w:rPr>
          <w:b/>
        </w:rPr>
        <w:t xml:space="preserve">Model decision. </w:t>
      </w:r>
      <w:r>
        <w:t>Report the distinct lexical dimensions and their coverage, then separate surface processing ease from thematic, symbolic, and historical difficulty.</w:t>
      </w:r>
    </w:p>
    <w:p>
      <w:pPr>
        <w:pStyle w:val="Heading2"/>
      </w:pPr>
      <w:r>
        <w:t>Limitations and common failure modes</w:t>
      </w:r>
    </w:p>
    <w:p>
      <w:pPr>
        <w:pStyle w:val="ListBullet"/>
      </w:pPr>
      <w:r>
        <w:t>Norms may underrepresent archaic, dialectal, proper-name, and poetic usages.</w:t>
      </w:r>
    </w:p>
    <w:p>
      <w:pPr>
        <w:pStyle w:val="ListBullet"/>
      </w:pPr>
      <w:r>
        <w:t>Sensorimotor associations do not prove mental imagery or bodily response.</w:t>
      </w:r>
    </w:p>
    <w:p>
      <w:pPr>
        <w:pStyle w:val="ListBullet"/>
      </w:pPr>
      <w:r>
        <w:t>AoA and frequency resources reflect their sampling populations and historical moment.</w:t>
      </w:r>
    </w:p>
    <w:p>
      <w:r>
        <w:rPr>
          <w:b/>
        </w:rPr>
        <w:t xml:space="preserve">Reject these shortcuts: </w:t>
      </w:r>
      <w:r>
        <w:t>Collapse concreteness and sensorimotor strength into one imagery truth score.; Interpret higher Zipf as rarer vocabulary.; Treat AoA as the age at which the poem should be assigned in school..</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A high VV-PRE or high concreteness score must never be presented as proof that a poem is aesthetically or interpretively simple.</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L1.5 · Lexical Diversity and Text-Length Effects</w:t>
      </w:r>
    </w:p>
    <w:p>
      <w:r>
        <w:rPr>
          <w:b/>
        </w:rPr>
        <w:t xml:space="preserve">Module purpose. </w:t>
      </w:r>
      <w:r>
        <w:t>Use TTR, MATTR, HD-D, MTLD, word length, and structural counts while recognizing their sensitivity to length, order, and eligibility.</w:t>
      </w:r>
    </w:p>
    <w:p>
      <w:pPr>
        <w:pStyle w:val="Heading2"/>
      </w:pPr>
      <w:r>
        <w:t>Learning objectives</w:t>
      </w:r>
    </w:p>
    <w:p>
      <w:pPr>
        <w:pStyle w:val="ListBullet"/>
      </w:pPr>
      <w:r>
        <w:t>Explain why raw type-token ratio normally declines with text length.</w:t>
      </w:r>
    </w:p>
    <w:p>
      <w:pPr>
        <w:pStyle w:val="ListBullet"/>
      </w:pPr>
      <w:r>
        <w:t>Distinguish MATTR, HD-D, and MTLD conceptually.</w:t>
      </w:r>
    </w:p>
    <w:p>
      <w:pPr>
        <w:pStyle w:val="ListBullet"/>
      </w:pPr>
      <w:r>
        <w:t>Check configured window or threshold availability before comparing values.</w:t>
      </w:r>
    </w:p>
    <w:p>
      <w:pPr>
        <w:pStyle w:val="ListBullet"/>
      </w:pPr>
      <w:r>
        <w:t>Integrate word-length and line/stanza summaries without mistaking them for style quality.</w:t>
      </w:r>
    </w:p>
    <w:p>
      <w:pPr>
        <w:pStyle w:val="Heading2"/>
      </w:pPr>
      <w:r>
        <w:t>Why this method matters</w:t>
      </w:r>
    </w:p>
    <w:p>
      <w:r>
        <w:t>Use TTR, MATTR, HD-D, MTLD, word length, and structural counts while recognizing their sensitivity to length, order, and eligibility.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**Never rank differently sized poems by raw TTR without explicitly addressing the length dependency.**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1.5 core concepts"/>
        <w:tblDescription w:val="Definitions and operational meanings for Lexical Diversity and Text-Length Effects."/>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MATTR</w:t>
            </w:r>
          </w:p>
        </w:tc>
        <w:tc>
          <w:tcPr>
            <w:tcW w:type="dxa" w:w="7160"/>
            <w:tcMar>
              <w:top w:w="75" w:type="dxa"/>
              <w:start w:w="100" w:type="dxa"/>
              <w:bottom w:w="75" w:type="dxa"/>
              <w:end w:w="100" w:type="dxa"/>
            </w:tcMar>
            <w:vAlign w:val="center"/>
          </w:tcPr>
          <w:p>
            <w:pPr>
              <w:spacing w:after="0" w:line="264" w:lineRule="auto"/>
            </w:pPr>
            <w:r>
              <w:rPr>
                <w:sz w:val="17"/>
              </w:rPr>
              <w:t>Moving-Average Type-Token Ratio averages overlapping fixed-window TTR values and is unavailable when the text cannot support the configured window.</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HD-D</w:t>
            </w:r>
          </w:p>
        </w:tc>
        <w:tc>
          <w:tcPr>
            <w:tcW w:type="dxa" w:w="7160"/>
            <w:tcMar>
              <w:top w:w="75" w:type="dxa"/>
              <w:start w:w="100" w:type="dxa"/>
              <w:bottom w:w="75" w:type="dxa"/>
              <w:end w:w="100" w:type="dxa"/>
            </w:tcMar>
            <w:vAlign w:val="center"/>
          </w:tcPr>
          <w:p>
            <w:pPr>
              <w:spacing w:after="0" w:line="264" w:lineRule="auto"/>
            </w:pPr>
            <w:r>
              <w:rPr>
                <w:sz w:val="17"/>
              </w:rPr>
              <w:t>Hypergeometric Distribution Diversity estimates expected distinct-type proportion in a without-replacement sample.</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MTLD</w:t>
            </w:r>
          </w:p>
        </w:tc>
        <w:tc>
          <w:tcPr>
            <w:tcW w:type="dxa" w:w="7160"/>
            <w:tcMar>
              <w:top w:w="75" w:type="dxa"/>
              <w:start w:w="100" w:type="dxa"/>
              <w:bottom w:w="75" w:type="dxa"/>
              <w:end w:w="100" w:type="dxa"/>
            </w:tcMar>
            <w:vAlign w:val="center"/>
          </w:tcPr>
          <w:p>
            <w:pPr>
              <w:spacing w:after="0" w:line="264" w:lineRule="auto"/>
            </w:pPr>
            <w:r>
              <w:rPr>
                <w:sz w:val="17"/>
              </w:rPr>
              <w:t>Measure of Textual Lexical Diversity reports the mean forward/reverse sequence length that maintains the configured TTR threshold.</w:t>
            </w:r>
          </w:p>
        </w:tc>
      </w:tr>
    </w:tbl>
    <w:p>
      <w:pPr>
        <w:pStyle w:val="Heading2"/>
      </w:pPr>
      <w:r>
        <w:t>Guided VerseVAD workflow</w:t>
      </w:r>
    </w:p>
    <w:p>
      <w:pPr>
        <w:pStyle w:val="ListNumber"/>
      </w:pPr>
      <w:r>
        <w:t>Confirm the eligible token sequence and lemmatization policy.</w:t>
      </w:r>
    </w:p>
    <w:p>
      <w:pPr>
        <w:pStyle w:val="ListNumber"/>
      </w:pPr>
      <w:r>
        <w:t>Record token count before interpreting diversity.</w:t>
      </w:r>
    </w:p>
    <w:p>
      <w:pPr>
        <w:pStyle w:val="ListNumber"/>
      </w:pPr>
      <w:r>
        <w:t>Use TTR only with explicit length caution.</w:t>
      </w:r>
    </w:p>
    <w:p>
      <w:pPr>
        <w:pStyle w:val="ListNumber"/>
      </w:pPr>
      <w:r>
        <w:t>Confirm MATTR window and MTLD threshold are identical across poems.</w:t>
      </w:r>
    </w:p>
    <w:p>
      <w:pPr>
        <w:pStyle w:val="ListNumber"/>
      </w:pPr>
      <w:r>
        <w:t>Inspect word-length and structure as complementary, not substitute, evidence.</w:t>
      </w:r>
    </w:p>
    <w:p>
      <w:pPr>
        <w:pStyle w:val="ListNumber"/>
      </w:pPr>
      <w:r>
        <w:t>Avoid interpreting a missing metric as zero diversity.</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fourteen-line sonnet and a 200-line narrative poem are compared using raw TTR. The sonnet is declared more lexically diverse because its TTR is higher."/>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fourteen-line sonnet and a 200-line narrative poem are compared using raw TTR. The sonnet is declared more lexically diverse because its TTR is higher.</w:t>
            </w:r>
          </w:p>
        </w:tc>
      </w:tr>
    </w:tbl>
    <w:p>
      <w:pPr>
        <w:spacing w:after="0"/>
      </w:pPr>
    </w:p>
    <w:p>
      <w:pPr>
        <w:pStyle w:val="ListBullet"/>
      </w:pPr>
      <w:r>
        <w:t>Explain the length confound.</w:t>
      </w:r>
    </w:p>
    <w:p>
      <w:pPr>
        <w:pStyle w:val="ListBullet"/>
      </w:pPr>
      <w:r>
        <w:t>Choose a more defensible diversity measure and matched configuration.</w:t>
      </w:r>
    </w:p>
    <w:p>
      <w:pPr>
        <w:pStyle w:val="ListBullet"/>
      </w:pPr>
      <w:r>
        <w:t>Name one reason an advanced metric might be missing.</w:t>
      </w:r>
    </w:p>
    <w:p>
      <w:pPr>
        <w:pStyle w:val="ListBullet"/>
      </w:pPr>
      <w:r>
        <w:t>Design a passage-level check for repeated thematic diction.</w:t>
      </w:r>
    </w:p>
    <w:p>
      <w:pPr>
        <w:pStyle w:val="Heading2"/>
      </w:pPr>
      <w:r>
        <w:t>Interpretation protocol</w:t>
      </w:r>
    </w:p>
    <w:p>
      <w:pPr>
        <w:pStyle w:val="ListNumber"/>
      </w:pPr>
      <w:r>
        <w:t>Report token count with every diversity claim.</w:t>
      </w:r>
    </w:p>
    <w:p>
      <w:pPr>
        <w:pStyle w:val="ListNumber"/>
      </w:pPr>
      <w:r>
        <w:t>Keep surface-form and lemma-based diversity distinct.</w:t>
      </w:r>
    </w:p>
    <w:p>
      <w:pPr>
        <w:pStyle w:val="ListNumber"/>
      </w:pPr>
      <w:r>
        <w:t>Use matched window and threshold settings.</w:t>
      </w:r>
    </w:p>
    <w:p>
      <w:pPr>
        <w:pStyle w:val="ListNumber"/>
      </w:pPr>
      <w:r>
        <w:t>Treat repetition as potentially meaningful rather than automatic deficiency.</w:t>
      </w:r>
    </w:p>
    <w:p>
      <w:r>
        <w:rPr>
          <w:b/>
        </w:rPr>
        <w:t xml:space="preserve">Model decision. </w:t>
      </w:r>
      <w:r>
        <w:t>Compare length-aware diversity measures under identical token, lemma, window, and threshold settings while retaining token count and repetition evidence.</w:t>
      </w:r>
    </w:p>
    <w:p>
      <w:pPr>
        <w:pStyle w:val="Heading2"/>
      </w:pPr>
      <w:r>
        <w:t>Limitations and common failure modes</w:t>
      </w:r>
    </w:p>
    <w:p>
      <w:pPr>
        <w:pStyle w:val="ListBullet"/>
      </w:pPr>
      <w:r>
        <w:t>Short poems may not support stable fixed-window estimates.</w:t>
      </w:r>
    </w:p>
    <w:p>
      <w:pPr>
        <w:pStyle w:val="ListBullet"/>
      </w:pPr>
      <w:r>
        <w:t>Orthographic variants and lemmatization decisions change type inventories.</w:t>
      </w:r>
    </w:p>
    <w:p>
      <w:pPr>
        <w:pStyle w:val="ListBullet"/>
      </w:pPr>
      <w:r>
        <w:t>A diversity score does not measure originality, semantic range, or aesthetic value directly.</w:t>
      </w:r>
    </w:p>
    <w:p>
      <w:r>
        <w:rPr>
          <w:b/>
        </w:rPr>
        <w:t xml:space="preserve">Reject these shortcuts: </w:t>
      </w:r>
      <w:r>
        <w:t>Treat missing MATTR as a value of zero.; Assume the poem with more unique spellings is necessarily more original.; Change the MTLD threshold until the preferred poem scores higher..</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Never rank differently sized poems by raw TTR without explicitly addressing the length dependency.</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L1.6 · Pronunciation, Syllables, Meter, and Rhythmic Regularity</w:t>
      </w:r>
    </w:p>
    <w:p>
      <w:r>
        <w:rPr>
          <w:b/>
        </w:rPr>
        <w:t xml:space="preserve">Module purpose. </w:t>
      </w:r>
      <w:r>
        <w:t>Audit pronunciation-dependent evidence before interpreting syllable counts, stress patterns, candidate meters, performance-aware verse type, or rhythmic trajectory.</w:t>
      </w:r>
    </w:p>
    <w:p>
      <w:pPr>
        <w:pStyle w:val="Heading2"/>
      </w:pPr>
      <w:r>
        <w:t>Learning objectives</w:t>
      </w:r>
    </w:p>
    <w:p>
      <w:pPr>
        <w:pStyle w:val="ListBullet"/>
      </w:pPr>
      <w:r>
        <w:t>Distinguish CMUdict pronunciations, alternate entries, provisional G2P predictions, and session overrides.</w:t>
      </w:r>
    </w:p>
    <w:p>
      <w:pPr>
        <w:pStyle w:val="ListBullet"/>
      </w:pPr>
      <w:r>
        <w:t>Resolve or leave unresolved poem-specific pronunciation decisions responsibly.</w:t>
      </w:r>
    </w:p>
    <w:p>
      <w:pPr>
        <w:pStyle w:val="ListBullet"/>
      </w:pPr>
      <w:r>
        <w:t>Interpret meter as candidate fit across stress pattern and foot count.</w:t>
      </w:r>
    </w:p>
    <w:p>
      <w:pPr>
        <w:pStyle w:val="ListBullet"/>
      </w:pPr>
      <w:r>
        <w:t>Read rhythmic regularity and trajectory as descriptive evidence, not performance law.</w:t>
      </w:r>
    </w:p>
    <w:p>
      <w:pPr>
        <w:pStyle w:val="Heading2"/>
      </w:pPr>
      <w:r>
        <w:t>Why this method matters</w:t>
      </w:r>
    </w:p>
    <w:p>
      <w:r>
        <w:t>Audit pronunciation-dependent evidence before interpreting syllable counts, stress patterns, candidate meters, performance-aware verse type, or rhythmic trajectory.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**Do not make a strong meter, rhyme, syllable, or inherited-form claim when pronunciation coverage is materially unresolved.**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1.6 core concepts"/>
        <w:tblDescription w:val="Definitions and operational meanings for Pronunciation, Syllables, Meter, and Rhythmic Regularity."/>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Pronunciation dependency</w:t>
            </w:r>
          </w:p>
        </w:tc>
        <w:tc>
          <w:tcPr>
            <w:tcW w:type="dxa" w:w="7160"/>
            <w:tcMar>
              <w:top w:w="75" w:type="dxa"/>
              <w:start w:w="100" w:type="dxa"/>
              <w:bottom w:w="75" w:type="dxa"/>
              <w:end w:w="100" w:type="dxa"/>
            </w:tcMar>
            <w:vAlign w:val="center"/>
          </w:tcPr>
          <w:p>
            <w:pPr>
              <w:spacing w:after="0" w:line="264" w:lineRule="auto"/>
            </w:pPr>
            <w:r>
              <w:rPr>
                <w:sz w:val="17"/>
              </w:rPr>
              <w:t>Syllable, stress, meter, rhyme, and inherited-form results depend on available or approved pronunciations.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Candidate meter</w:t>
            </w:r>
          </w:p>
        </w:tc>
        <w:tc>
          <w:tcPr>
            <w:tcW w:type="dxa" w:w="7160"/>
            <w:tcMar>
              <w:top w:w="75" w:type="dxa"/>
              <w:start w:w="100" w:type="dxa"/>
              <w:bottom w:w="75" w:type="dxa"/>
              <w:end w:w="100" w:type="dxa"/>
            </w:tcMar>
            <w:vAlign w:val="center"/>
          </w:tcPr>
          <w:p>
            <w:pPr>
              <w:spacing w:after="0" w:line="264" w:lineRule="auto"/>
            </w:pPr>
            <w:r>
              <w:rPr>
                <w:sz w:val="17"/>
              </w:rPr>
              <w:t>VerseVAD compares line stress evidence with named metrical patterns and foot counts; poetic performance and substitution can produce legitimate departures.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Performance-aware classification</w:t>
            </w:r>
          </w:p>
        </w:tc>
        <w:tc>
          <w:tcPr>
            <w:tcW w:type="dxa" w:w="7160"/>
            <w:tcMar>
              <w:top w:w="75" w:type="dxa"/>
              <w:start w:w="100" w:type="dxa"/>
              <w:bottom w:w="75" w:type="dxa"/>
              <w:end w:w="100" w:type="dxa"/>
            </w:tcMar>
            <w:vAlign w:val="center"/>
          </w:tcPr>
          <w:p>
            <w:pPr>
              <w:spacing w:after="0" w:line="264" w:lineRule="auto"/>
            </w:pPr>
            <w:r>
              <w:rPr>
                <w:sz w:val="17"/>
              </w:rPr>
              <w:t>Labels such as accentual-syllabic summarize observed formal tendencies and remain conditional on text, pronunciation, and thresholds.</w:t>
            </w:r>
          </w:p>
        </w:tc>
      </w:tr>
    </w:tbl>
    <w:p>
      <w:pPr>
        <w:pStyle w:val="Heading2"/>
      </w:pPr>
      <w:r>
        <w:t>Guided VerseVAD workflow</w:t>
      </w:r>
    </w:p>
    <w:p>
      <w:pPr>
        <w:pStyle w:val="ListNumber"/>
      </w:pPr>
      <w:r>
        <w:t>Enable pronunciation before dependent sound modules.</w:t>
      </w:r>
    </w:p>
    <w:p>
      <w:pPr>
        <w:pStyle w:val="ListNumber"/>
      </w:pPr>
      <w:r>
        <w:t>Open Words Needing Attention and Out-of-Dictionary Words.</w:t>
      </w:r>
    </w:p>
    <w:p>
      <w:pPr>
        <w:pStyle w:val="ListNumber"/>
      </w:pPr>
      <w:r>
        <w:t>Listen to available options where helpful, then approve, edit ARPAbet, or leave unresolved.</w:t>
      </w:r>
    </w:p>
    <w:p>
      <w:pPr>
        <w:pStyle w:val="ListNumber"/>
      </w:pPr>
      <w:r>
        <w:t>Reanalyze so downstream syllable, stress, rhyme, and form evidence updates.</w:t>
      </w:r>
    </w:p>
    <w:p>
      <w:pPr>
        <w:pStyle w:val="ListNumber"/>
      </w:pPr>
      <w:r>
        <w:t>Inspect line-level stress and rhythmic trajectory before naming an overall tendency.</w:t>
      </w:r>
    </w:p>
    <w:p>
      <w:pPr>
        <w:pStyle w:val="ListNumber"/>
      </w:pPr>
      <w:r>
        <w:t>Document unresolved words and the effect they may have on the claim.</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poem appears to fit iambic pentameter poorly, but several archaic contractions and proper names are unresolved. The analyst reports metrical irregularity without reviewing them."/>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poem appears to fit iambic pentameter poorly, but several archaic contractions and proper names are unresolved. The analyst reports metrical irregularity without reviewing them.</w:t>
            </w:r>
          </w:p>
        </w:tc>
      </w:tr>
    </w:tbl>
    <w:p>
      <w:pPr>
        <w:spacing w:after="0"/>
      </w:pPr>
    </w:p>
    <w:p>
      <w:pPr>
        <w:pStyle w:val="ListBullet"/>
      </w:pPr>
      <w:r>
        <w:t>Identify the dependency failure.</w:t>
      </w:r>
    </w:p>
    <w:p>
      <w:pPr>
        <w:pStyle w:val="ListBullet"/>
      </w:pPr>
      <w:r>
        <w:t>Plan a pronunciation-review sequence.</w:t>
      </w:r>
    </w:p>
    <w:p>
      <w:pPr>
        <w:pStyle w:val="ListBullet"/>
      </w:pPr>
      <w:r>
        <w:t>Explain why a G2P suggestion is not confirmed evidence.</w:t>
      </w:r>
    </w:p>
    <w:p>
      <w:pPr>
        <w:pStyle w:val="ListBullet"/>
      </w:pPr>
      <w:r>
        <w:t>Write a conditional meter claim after partial resolution.</w:t>
      </w:r>
    </w:p>
    <w:p>
      <w:pPr>
        <w:pStyle w:val="Heading2"/>
      </w:pPr>
      <w:r>
        <w:t>Interpretation protocol</w:t>
      </w:r>
    </w:p>
    <w:p>
      <w:pPr>
        <w:pStyle w:val="ListNumber"/>
      </w:pPr>
      <w:r>
        <w:t>Report pronunciation coverage with sound claims.</w:t>
      </w:r>
    </w:p>
    <w:p>
      <w:pPr>
        <w:pStyle w:val="ListNumber"/>
      </w:pPr>
      <w:r>
        <w:t>Distinguish global candidate fit from line-level variation.</w:t>
      </w:r>
    </w:p>
    <w:p>
      <w:pPr>
        <w:pStyle w:val="ListNumber"/>
      </w:pPr>
      <w:r>
        <w:t>Treat spondaic and pyrrhic feet as substitutions unless the evidence supports a sustained meter.</w:t>
      </w:r>
    </w:p>
    <w:p>
      <w:pPr>
        <w:pStyle w:val="ListNumber"/>
      </w:pPr>
      <w:r>
        <w:t>Use rhythmic trajectory to locate change rather than prescribe reading speed.</w:t>
      </w:r>
    </w:p>
    <w:p>
      <w:r>
        <w:rPr>
          <w:b/>
        </w:rPr>
        <w:t xml:space="preserve">Model decision. </w:t>
      </w:r>
      <w:r>
        <w:t>Review unresolved and alternate pronunciations, reanalyze dependent modules, and frame meter or regularity as conditional candidate evidence.</w:t>
      </w:r>
    </w:p>
    <w:p>
      <w:pPr>
        <w:pStyle w:val="Heading2"/>
      </w:pPr>
      <w:r>
        <w:t>Limitations and common failure modes</w:t>
      </w:r>
    </w:p>
    <w:p>
      <w:pPr>
        <w:pStyle w:val="ListBullet"/>
      </w:pPr>
      <w:r>
        <w:t>CMUdict is not a poem-specific performance dictionary.</w:t>
      </w:r>
    </w:p>
    <w:p>
      <w:pPr>
        <w:pStyle w:val="ListBullet"/>
      </w:pPr>
      <w:r>
        <w:t>Stress assignment can differ by dialect, syntax, history, and performance.</w:t>
      </w:r>
    </w:p>
    <w:p>
      <w:pPr>
        <w:pStyle w:val="ListBullet"/>
      </w:pPr>
      <w:r>
        <w:t>Meter algorithms cannot adjudicate every promotion, demotion, elision, or expressive substitution.</w:t>
      </w:r>
    </w:p>
    <w:p>
      <w:r>
        <w:rPr>
          <w:b/>
        </w:rPr>
        <w:t xml:space="preserve">Reject these shortcuts: </w:t>
      </w:r>
      <w:r>
        <w:t>Accept every G2P prediction automatically because it is machine generated.; Treat the highest-scoring meter as the poem's definitive performed rhythm.; Edit the source spelling until CMUdict matches every word..</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Do not make a strong meter, rhyme, syllable, or inherited-form claim when pronunciation coverage is materially unresolved.</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L1.7 · Rhyme, Phonological Patterning, and Inherited Form</w:t>
      </w:r>
    </w:p>
    <w:p>
      <w:r>
        <w:rPr>
          <w:b/>
        </w:rPr>
        <w:t xml:space="preserve">Module purpose. </w:t>
      </w:r>
      <w:r>
        <w:t>Interpret end rhyme, internal rhyme, alliteration, assonance, consonance, and inherited-form candidates as graded, coverage-dependent evidence.</w:t>
      </w:r>
    </w:p>
    <w:p>
      <w:pPr>
        <w:pStyle w:val="Heading2"/>
      </w:pPr>
      <w:r>
        <w:t>Learning objectives</w:t>
      </w:r>
    </w:p>
    <w:p>
      <w:pPr>
        <w:pStyle w:val="ListBullet"/>
      </w:pPr>
      <w:r>
        <w:t>Distinguish perfect, identical, masculine, feminine, multisyllabic, and graded slant evidence.</w:t>
      </w:r>
    </w:p>
    <w:p>
      <w:pPr>
        <w:pStyle w:val="ListBullet"/>
      </w:pPr>
      <w:r>
        <w:t>Explain how recurring-sound rates depend on eligible pronunciations and thresholds.</w:t>
      </w:r>
    </w:p>
    <w:p>
      <w:pPr>
        <w:pStyle w:val="ListBullet"/>
      </w:pPr>
      <w:r>
        <w:t>Separate form match percentage from evidence coverage percentage.</w:t>
      </w:r>
    </w:p>
    <w:p>
      <w:pPr>
        <w:pStyle w:val="ListBullet"/>
      </w:pPr>
      <w:r>
        <w:t>Evaluate agreements and departures against a form's weighted traditional profile.</w:t>
      </w:r>
    </w:p>
    <w:p>
      <w:pPr>
        <w:pStyle w:val="Heading2"/>
      </w:pPr>
      <w:r>
        <w:t>Why this method matters</w:t>
      </w:r>
    </w:p>
    <w:p>
      <w:r>
        <w:t>Interpret end rhyme, internal rhyme, alliteration, assonance, consonance, and inherited-form candidates as graded, coverage-dependent evidence.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**A high inherited-form match is not a declaration of genre when essential defining evidence is absent or unresolved.**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1.7 core concepts"/>
        <w:tblDescription w:val="Definitions and operational meanings for Rhyme, Phonological Patterning, and Inherited Form."/>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Rhyme classification</w:t>
            </w:r>
          </w:p>
        </w:tc>
        <w:tc>
          <w:tcPr>
            <w:tcW w:type="dxa" w:w="7160"/>
            <w:tcMar>
              <w:top w:w="75" w:type="dxa"/>
              <w:start w:w="100" w:type="dxa"/>
              <w:bottom w:w="75" w:type="dxa"/>
              <w:end w:w="100" w:type="dxa"/>
            </w:tcMar>
            <w:vAlign w:val="center"/>
          </w:tcPr>
          <w:p>
            <w:pPr>
              <w:spacing w:after="0" w:line="264" w:lineRule="auto"/>
            </w:pPr>
            <w:r>
              <w:rPr>
                <w:sz w:val="17"/>
              </w:rPr>
              <w:t>CMUdict supplies pronunciation evidence; VerseVAD's algorithms classify relationships and grade slant evidence rather than the dictionary itself naming poetic rhyme.</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Match versus coverage</w:t>
            </w:r>
          </w:p>
        </w:tc>
        <w:tc>
          <w:tcPr>
            <w:tcW w:type="dxa" w:w="7160"/>
            <w:tcMar>
              <w:top w:w="75" w:type="dxa"/>
              <w:start w:w="100" w:type="dxa"/>
              <w:bottom w:w="75" w:type="dxa"/>
              <w:end w:w="100" w:type="dxa"/>
            </w:tcMar>
            <w:vAlign w:val="center"/>
          </w:tcPr>
          <w:p>
            <w:pPr>
              <w:spacing w:after="0" w:line="264" w:lineRule="auto"/>
            </w:pPr>
            <w:r>
              <w:rPr>
                <w:sz w:val="17"/>
              </w:rPr>
              <w:t>Match percentage summarizes agreement among evaluated form requirements; coverage describes how much required evidence was available.</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Candidate language</w:t>
            </w:r>
          </w:p>
        </w:tc>
        <w:tc>
          <w:tcPr>
            <w:tcW w:type="dxa" w:w="7160"/>
            <w:tcMar>
              <w:top w:w="75" w:type="dxa"/>
              <w:start w:w="100" w:type="dxa"/>
              <w:bottom w:w="75" w:type="dxa"/>
              <w:end w:w="100" w:type="dxa"/>
            </w:tcMar>
            <w:vAlign w:val="center"/>
          </w:tcPr>
          <w:p>
            <w:pPr>
              <w:spacing w:after="0" w:line="264" w:lineRule="auto"/>
            </w:pPr>
            <w:r>
              <w:rPr>
                <w:sz w:val="17"/>
              </w:rPr>
              <w:t>An inherited-form profile proposes a potential match and explains traditional requirements, weights, agreements, and departures.</w:t>
            </w:r>
          </w:p>
        </w:tc>
      </w:tr>
    </w:tbl>
    <w:p>
      <w:pPr>
        <w:pStyle w:val="Heading2"/>
      </w:pPr>
      <w:r>
        <w:t>Guided VerseVAD workflow</w:t>
      </w:r>
    </w:p>
    <w:p>
      <w:pPr>
        <w:pStyle w:val="ListNumber"/>
      </w:pPr>
      <w:r>
        <w:t>Resolve pronunciation decisions that could affect line endings or repeated sounds.</w:t>
      </w:r>
    </w:p>
    <w:p>
      <w:pPr>
        <w:pStyle w:val="ListNumber"/>
      </w:pPr>
      <w:r>
        <w:t>Inspect end-rhyme groups and pair evidence before accepting a scheme label.</w:t>
      </w:r>
    </w:p>
    <w:p>
      <w:pPr>
        <w:pStyle w:val="ListNumber"/>
      </w:pPr>
      <w:r>
        <w:t>Examine internal rhyme and recurring-sound rates with denominators.</w:t>
      </w:r>
    </w:p>
    <w:p>
      <w:pPr>
        <w:pStyle w:val="ListNumber"/>
      </w:pPr>
      <w:r>
        <w:t>Open inherited-form definitions and compare weighted requirements.</w:t>
      </w:r>
    </w:p>
    <w:p>
      <w:pPr>
        <w:pStyle w:val="ListNumber"/>
      </w:pPr>
      <w:r>
        <w:t>Read match and coverage together.</w:t>
      </w:r>
    </w:p>
    <w:p>
      <w:pPr>
        <w:pStyle w:val="ListNumber"/>
      </w:pPr>
      <w:r>
        <w:t>Confirm the result against stanza layout, line count, meter, and the text's historical context.</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fourteen-line poem receives a high sonnet-family match but low meter coverage and a rhyme scheme with several slant links. The analyst calls it an Elizabethan sonnet without qualification."/>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fourteen-line poem receives a high sonnet-family match but low meter coverage and a rhyme scheme with several slant links. The analyst calls it an Elizabethan sonnet without qualification.</w:t>
            </w:r>
          </w:p>
        </w:tc>
      </w:tr>
    </w:tbl>
    <w:p>
      <w:pPr>
        <w:spacing w:after="0"/>
      </w:pPr>
    </w:p>
    <w:p>
      <w:pPr>
        <w:pStyle w:val="ListBullet"/>
      </w:pPr>
      <w:r>
        <w:t>Separate the evidence that is present from the evidence that is missing.</w:t>
      </w:r>
    </w:p>
    <w:p>
      <w:pPr>
        <w:pStyle w:val="ListBullet"/>
      </w:pPr>
      <w:r>
        <w:t>Explain what a high match with low coverage can mean.</w:t>
      </w:r>
    </w:p>
    <w:p>
      <w:pPr>
        <w:pStyle w:val="ListBullet"/>
      </w:pPr>
      <w:r>
        <w:t>Inspect the traditional definition in Form Library.</w:t>
      </w:r>
    </w:p>
    <w:p>
      <w:pPr>
        <w:pStyle w:val="ListBullet"/>
      </w:pPr>
      <w:r>
        <w:t>Write candidate language that names departures.</w:t>
      </w:r>
    </w:p>
    <w:p>
      <w:pPr>
        <w:pStyle w:val="Heading2"/>
      </w:pPr>
      <w:r>
        <w:t>Interpretation protocol</w:t>
      </w:r>
    </w:p>
    <w:p>
      <w:pPr>
        <w:pStyle w:val="ListNumber"/>
      </w:pPr>
      <w:r>
        <w:t>Name the rhyme relationship rather than only its group label.</w:t>
      </w:r>
    </w:p>
    <w:p>
      <w:pPr>
        <w:pStyle w:val="ListNumber"/>
      </w:pPr>
      <w:r>
        <w:t>Report graded slant evidence as graded.</w:t>
      </w:r>
    </w:p>
    <w:p>
      <w:pPr>
        <w:pStyle w:val="ListNumber"/>
      </w:pPr>
      <w:r>
        <w:t>Use form weights as a transparent heuristic, not historical law.</w:t>
      </w:r>
    </w:p>
    <w:p>
      <w:pPr>
        <w:pStyle w:val="ListNumber"/>
      </w:pPr>
      <w:r>
        <w:t>Retain obviously distant forms in exports but keep the dashboard concise.</w:t>
      </w:r>
    </w:p>
    <w:p>
      <w:r>
        <w:rPr>
          <w:b/>
        </w:rPr>
        <w:t xml:space="preserve">Model decision. </w:t>
      </w:r>
      <w:r>
        <w:t>Audit pronunciation and pair evidence, read match beside coverage, and describe the form as a weighted candidate with explicit agreements and departures.</w:t>
      </w:r>
    </w:p>
    <w:p>
      <w:pPr>
        <w:pStyle w:val="Heading2"/>
      </w:pPr>
      <w:r>
        <w:t>Limitations and common failure modes</w:t>
      </w:r>
    </w:p>
    <w:p>
      <w:pPr>
        <w:pStyle w:val="ListBullet"/>
      </w:pPr>
      <w:r>
        <w:t>Historical and dialect pronunciations may differ from the pinned dictionary.</w:t>
      </w:r>
    </w:p>
    <w:p>
      <w:pPr>
        <w:pStyle w:val="ListBullet"/>
      </w:pPr>
      <w:r>
        <w:t>Visual rhyme and semantic echo may matter even when modern pronunciation does not rhyme.</w:t>
      </w:r>
    </w:p>
    <w:p>
      <w:pPr>
        <w:pStyle w:val="ListBullet"/>
      </w:pPr>
      <w:r>
        <w:t>Inherited forms have variant traditions that cannot be exhausted by one rule profile.</w:t>
      </w:r>
    </w:p>
    <w:p>
      <w:r>
        <w:rPr>
          <w:b/>
        </w:rPr>
        <w:t xml:space="preserve">Reject these shortcuts: </w:t>
      </w:r>
      <w:r>
        <w:t>Assume CMUdict directly identifies every rhyme and poetic form.; Treat match percentage and evidence coverage as interchangeable.; Ignore slant grading and label every linked pair a perfect rhyme..</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A high inherited-form match is not a declaration of genre when essential defining evidence is absent or unresolved.</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L1.8 · Poem-to-Poem Comparison</w:t>
      </w:r>
    </w:p>
    <w:p>
      <w:r>
        <w:rPr>
          <w:b/>
        </w:rPr>
        <w:t xml:space="preserve">Module purpose. </w:t>
      </w:r>
      <w:r>
        <w:t>Design fair comparisons across two to ten poems using one shared configuration, compatible denominators, side-by-side metrics, and descriptive range.</w:t>
      </w:r>
    </w:p>
    <w:p>
      <w:pPr>
        <w:pStyle w:val="Heading2"/>
      </w:pPr>
      <w:r>
        <w:t>Learning objectives</w:t>
      </w:r>
    </w:p>
    <w:p>
      <w:pPr>
        <w:pStyle w:val="ListBullet"/>
      </w:pPr>
      <w:r>
        <w:t>Apply the same profile and customized settings to every poem.</w:t>
      </w:r>
    </w:p>
    <w:p>
      <w:pPr>
        <w:pStyle w:val="ListBullet"/>
      </w:pPr>
      <w:r>
        <w:t>Compare headline means, cumulative loads, and within-poem dispersion in a readable order.</w:t>
      </w:r>
    </w:p>
    <w:p>
      <w:pPr>
        <w:pStyle w:val="ListBullet"/>
      </w:pPr>
      <w:r>
        <w:t>Use Range (Max minus Min) as descriptive spread, not significance.</w:t>
      </w:r>
    </w:p>
    <w:p>
      <w:pPr>
        <w:pStyle w:val="ListBullet"/>
      </w:pPr>
      <w:r>
        <w:t>Resolve poem-specific pronunciation conflicts without contaminating the comparison.</w:t>
      </w:r>
    </w:p>
    <w:p>
      <w:pPr>
        <w:pStyle w:val="Heading2"/>
      </w:pPr>
      <w:r>
        <w:t>Why this method matters</w:t>
      </w:r>
    </w:p>
    <w:p>
      <w:r>
        <w:t>Design fair comparisons across two to ten poems using one shared configuration, compatible denominators, side-by-side metrics, and descriptive range.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**Never compare values produced under different weighting, stopword, source, or threshold settings as though they were directly equivalent.**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1.8 core concepts"/>
        <w:tblDescription w:val="Definitions and operational meanings for Poem-to-Poem Comparison."/>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Shared method</w:t>
            </w:r>
          </w:p>
        </w:tc>
        <w:tc>
          <w:tcPr>
            <w:tcW w:type="dxa" w:w="7160"/>
            <w:tcMar>
              <w:top w:w="75" w:type="dxa"/>
              <w:start w:w="100" w:type="dxa"/>
              <w:bottom w:w="75" w:type="dxa"/>
              <w:end w:w="100" w:type="dxa"/>
            </w:tcMar>
            <w:vAlign w:val="center"/>
          </w:tcPr>
          <w:p>
            <w:pPr>
              <w:spacing w:after="0" w:line="264" w:lineRule="auto"/>
            </w:pPr>
            <w:r>
              <w:rPr>
                <w:sz w:val="17"/>
              </w:rPr>
              <w:t>The interface applies identical lexicons, modules, preprocessing, stopword treatment, weighting, and thresholds across all comparison texts.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Comparable evidence</w:t>
            </w:r>
          </w:p>
        </w:tc>
        <w:tc>
          <w:tcPr>
            <w:tcW w:type="dxa" w:w="7160"/>
            <w:tcMar>
              <w:top w:w="75" w:type="dxa"/>
              <w:start w:w="100" w:type="dxa"/>
              <w:bottom w:w="75" w:type="dxa"/>
              <w:end w:w="100" w:type="dxa"/>
            </w:tcMar>
            <w:vAlign w:val="center"/>
          </w:tcPr>
          <w:p>
            <w:pPr>
              <w:spacing w:after="0" w:line="264" w:lineRule="auto"/>
            </w:pPr>
            <w:r>
              <w:rPr>
                <w:sz w:val="17"/>
              </w:rPr>
              <w:t>Similar settings do not guarantee similar coverage. Each poem's eligible and matched evidence must still be checked.</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Side-by-side reading</w:t>
            </w:r>
          </w:p>
        </w:tc>
        <w:tc>
          <w:tcPr>
            <w:tcW w:type="dxa" w:w="7160"/>
            <w:tcMar>
              <w:top w:w="75" w:type="dxa"/>
              <w:start w:w="100" w:type="dxa"/>
              <w:bottom w:w="75" w:type="dxa"/>
              <w:end w:w="100" w:type="dxa"/>
            </w:tcMar>
            <w:vAlign w:val="center"/>
          </w:tcPr>
          <w:p>
            <w:pPr>
              <w:spacing w:after="0" w:line="264" w:lineRule="auto"/>
            </w:pPr>
            <w:r>
              <w:rPr>
                <w:sz w:val="17"/>
              </w:rPr>
              <w:t>The dashboard emphasizes poem values and range; long-form audit exports retain additional records without overwhelming the report view.</w:t>
            </w:r>
          </w:p>
        </w:tc>
      </w:tr>
    </w:tbl>
    <w:p>
      <w:pPr>
        <w:pStyle w:val="Heading2"/>
      </w:pPr>
      <w:r>
        <w:t>Guided VerseVAD workflow</w:t>
      </w:r>
    </w:p>
    <w:p>
      <w:pPr>
        <w:pStyle w:val="ListNumber"/>
      </w:pPr>
      <w:r>
        <w:t>Choose poems that answer a stated comparative question.</w:t>
      </w:r>
    </w:p>
    <w:p>
      <w:pPr>
        <w:pStyle w:val="ListNumber"/>
      </w:pPr>
      <w:r>
        <w:t>Apply one shared profile and configure it before analysis.</w:t>
      </w:r>
    </w:p>
    <w:p>
      <w:pPr>
        <w:pStyle w:val="ListNumber"/>
      </w:pPr>
      <w:r>
        <w:t>Select one shared view and weighting.</w:t>
      </w:r>
    </w:p>
    <w:p>
      <w:pPr>
        <w:pStyle w:val="ListNumber"/>
      </w:pPr>
      <w:r>
        <w:t>Read mean evidence first, normalized cumulative load second, and within-poem dispersion third.</w:t>
      </w:r>
    </w:p>
    <w:p>
      <w:pPr>
        <w:pStyle w:val="ListNumber"/>
      </w:pPr>
      <w:r>
        <w:t>Inspect evidence and diagnostics for denominator asymmetry.</w:t>
      </w:r>
    </w:p>
    <w:p>
      <w:pPr>
        <w:pStyle w:val="ListNumber"/>
      </w:pPr>
      <w:r>
        <w:t>Return to contrasting passages and report both similarity and difference.</w:t>
      </w:r>
    </w:p>
    <w:p>
      <w:pPr>
        <w:keepNext/>
        <w:jc w:val="center"/>
      </w:pPr>
      <w:r/>
    </w:p>
    <w:p>
      <w:pPr>
        <w:pStyle w:val="Caption"/>
        <w:jc w:val="center"/>
      </w:pPr>
      <w:r>
        <w:t>Figure 3. The report map separates interpretive families from diagnostics and export.</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Poem A has a lower valence mean than Poem B, but Poem A has 92 percent coverage and Poem B has 41 percent coverage with many archaic unmatched forms."/>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Poem A has a lower valence mean than Poem B, but Poem A has 92 percent coverage and Poem B has 41 percent coverage with many archaic unmatched forms.</w:t>
            </w:r>
          </w:p>
        </w:tc>
      </w:tr>
    </w:tbl>
    <w:p>
      <w:pPr>
        <w:spacing w:after="0"/>
      </w:pPr>
    </w:p>
    <w:p>
      <w:pPr>
        <w:pStyle w:val="ListBullet"/>
      </w:pPr>
      <w:r>
        <w:t>Decide whether the contrast is ready for a strong claim.</w:t>
      </w:r>
    </w:p>
    <w:p>
      <w:pPr>
        <w:pStyle w:val="ListBullet"/>
      </w:pPr>
      <w:r>
        <w:t>Identify the Evidence &amp; Diagnostics checks needed.</w:t>
      </w:r>
    </w:p>
    <w:p>
      <w:pPr>
        <w:pStyle w:val="ListBullet"/>
      </w:pPr>
      <w:r>
        <w:t>Explain the role of descriptive range.</w:t>
      </w:r>
    </w:p>
    <w:p>
      <w:pPr>
        <w:pStyle w:val="ListBullet"/>
      </w:pPr>
      <w:r>
        <w:t>Design a sensitivity analysis without changing settings separately by poem.</w:t>
      </w:r>
    </w:p>
    <w:p>
      <w:pPr>
        <w:pStyle w:val="Heading2"/>
      </w:pPr>
      <w:r>
        <w:t>Interpretation protocol</w:t>
      </w:r>
    </w:p>
    <w:p>
      <w:pPr>
        <w:pStyle w:val="ListNumber"/>
      </w:pPr>
      <w:r>
        <w:t>Name shared settings once and poem-specific coverage separately.</w:t>
      </w:r>
    </w:p>
    <w:p>
      <w:pPr>
        <w:pStyle w:val="ListNumber"/>
      </w:pPr>
      <w:r>
        <w:t>Do not pool all tokens when the question requires equal-poem comparison.</w:t>
      </w:r>
    </w:p>
    <w:p>
      <w:pPr>
        <w:pStyle w:val="ListNumber"/>
      </w:pPr>
      <w:r>
        <w:t>Retain within-poem dispersion as a property of each poem.</w:t>
      </w:r>
    </w:p>
    <w:p>
      <w:pPr>
        <w:pStyle w:val="ListNumber"/>
      </w:pPr>
      <w:r>
        <w:t>Use local passages to interpret the measured contrast.</w:t>
      </w:r>
    </w:p>
    <w:p>
      <w:r>
        <w:rPr>
          <w:b/>
        </w:rPr>
        <w:t xml:space="preserve">Model decision. </w:t>
      </w:r>
      <w:r>
        <w:t>Keep one shared configuration, qualify the contrast by poem-specific coverage, and use side-by-side evidence plus close reading rather than a significance claim.</w:t>
      </w:r>
    </w:p>
    <w:p>
      <w:pPr>
        <w:pStyle w:val="Heading2"/>
      </w:pPr>
      <w:r>
        <w:t>Limitations and common failure modes</w:t>
      </w:r>
    </w:p>
    <w:p>
      <w:pPr>
        <w:pStyle w:val="ListBullet"/>
      </w:pPr>
      <w:r>
        <w:t>Small comparison sets do not support population inference.</w:t>
      </w:r>
    </w:p>
    <w:p>
      <w:pPr>
        <w:pStyle w:val="ListBullet"/>
      </w:pPr>
      <w:r>
        <w:t>A range does not reveal ordering beyond the minimum and maximum.</w:t>
      </w:r>
    </w:p>
    <w:p>
      <w:pPr>
        <w:pStyle w:val="ListBullet"/>
      </w:pPr>
      <w:r>
        <w:t>The same spelling may require different poem-specific pronunciations.</w:t>
      </w:r>
    </w:p>
    <w:p>
      <w:r>
        <w:rPr>
          <w:b/>
        </w:rPr>
        <w:t xml:space="preserve">Reject these shortcuts: </w:t>
      </w:r>
      <w:r>
        <w:t>Adjust each poem's settings until coverage percentages match.; Treat the observed range as a statistically significant effect.; Pool all tokens and describe the result as the average poem..</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Never compare values produced under different weighting, stopword, source, or threshold settings as though they were directly equivalent.</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L1.9 · VerseMap for Close Reading</w:t>
      </w:r>
    </w:p>
    <w:p>
      <w:r>
        <w:rPr>
          <w:b/>
        </w:rPr>
        <w:t xml:space="preserve">Module purpose. </w:t>
      </w:r>
      <w:r>
        <w:t>Use VerseMap as an exploratory similarity system whose fixed profile and compressed display generate questions for close reading.</w:t>
      </w:r>
    </w:p>
    <w:p>
      <w:pPr>
        <w:pStyle w:val="Heading2"/>
      </w:pPr>
      <w:r>
        <w:t>Learning objectives</w:t>
      </w:r>
    </w:p>
    <w:p>
      <w:pPr>
        <w:pStyle w:val="ListBullet"/>
      </w:pPr>
      <w:r>
        <w:t>Explain the fixed Standard Profile and why interactive analysis settings do not replace it.</w:t>
      </w:r>
    </w:p>
    <w:p>
      <w:pPr>
        <w:pStyle w:val="ListBullet"/>
      </w:pPr>
      <w:r>
        <w:t>Distinguish PCA display coordinates from full-space neighbor distance.</w:t>
      </w:r>
    </w:p>
    <w:p>
      <w:pPr>
        <w:pStyle w:val="ListBullet"/>
      </w:pPr>
      <w:r>
        <w:t>Interpret nearest poem and nearest poet centroid as methodological comparisons.</w:t>
      </w:r>
    </w:p>
    <w:p>
      <w:pPr>
        <w:pStyle w:val="ListBullet"/>
      </w:pPr>
      <w:r>
        <w:t>Use coverage and shared-weight requirements to decide whether a neighbor is meaningful.</w:t>
      </w:r>
    </w:p>
    <w:p>
      <w:pPr>
        <w:pStyle w:val="Heading2"/>
      </w:pPr>
      <w:r>
        <w:t>Why this method matters</w:t>
      </w:r>
    </w:p>
    <w:p>
      <w:r>
        <w:t>Use VerseMap as an exploratory similarity system whose fixed profile and compressed display generate questions for close reading.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**VerseMap similarity is conditional exploratory evidence and must not be presented as proof of influence, authorship, genre, or value.**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1.9 core concepts"/>
        <w:tblDescription w:val="Definitions and operational meanings for VerseMap for Close Reading."/>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PCA</w:t>
            </w:r>
          </w:p>
        </w:tc>
        <w:tc>
          <w:tcPr>
            <w:tcW w:type="dxa" w:w="7160"/>
            <w:tcMar>
              <w:top w:w="75" w:type="dxa"/>
              <w:start w:w="100" w:type="dxa"/>
              <w:bottom w:w="75" w:type="dxa"/>
              <w:end w:w="100" w:type="dxa"/>
            </w:tcMar>
            <w:vAlign w:val="center"/>
          </w:tcPr>
          <w:p>
            <w:pPr>
              <w:spacing w:after="0" w:line="264" w:lineRule="auto"/>
            </w:pPr>
            <w:r>
              <w:rPr>
                <w:sz w:val="17"/>
              </w:rPr>
              <w:t>Principal Component Analysis creates deterministic composite display axes from standardized reference features; Component 1 and 2 are not single named metrics.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Neighbor distance</w:t>
            </w:r>
          </w:p>
        </w:tc>
        <w:tc>
          <w:tcPr>
            <w:tcW w:type="dxa" w:w="7160"/>
            <w:tcMar>
              <w:top w:w="75" w:type="dxa"/>
              <w:start w:w="100" w:type="dxa"/>
              <w:bottom w:w="75" w:type="dxa"/>
              <w:end w:w="100" w:type="dxa"/>
            </w:tcMar>
            <w:vAlign w:val="center"/>
          </w:tcPr>
          <w:p>
            <w:pPr>
              <w:spacing w:after="0" w:line="264" w:lineRule="auto"/>
            </w:pPr>
            <w:r>
              <w:rPr>
                <w:sz w:val="17"/>
              </w:rPr>
              <w:t>Nearest neighbors use coverage-aware weighted standardized Euclidean distance in the fuller profile space and may differ from visual proximity.</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Reference dependence</w:t>
            </w:r>
          </w:p>
        </w:tc>
        <w:tc>
          <w:tcPr>
            <w:tcW w:type="dxa" w:w="7160"/>
            <w:tcMar>
              <w:top w:w="75" w:type="dxa"/>
              <w:start w:w="100" w:type="dxa"/>
              <w:bottom w:w="75" w:type="dxa"/>
              <w:end w:w="100" w:type="dxa"/>
            </w:tcMar>
            <w:vAlign w:val="center"/>
          </w:tcPr>
          <w:p>
            <w:pPr>
              <w:spacing w:after="0" w:line="264" w:lineRule="auto"/>
            </w:pPr>
            <w:r>
              <w:rPr>
                <w:sz w:val="17"/>
              </w:rPr>
              <w:t>A map location and nearest neighbor are conditional on the selected indexed corpus, release, feature weights, and available shared evidence.</w:t>
            </w:r>
          </w:p>
        </w:tc>
      </w:tr>
    </w:tbl>
    <w:p>
      <w:pPr>
        <w:pStyle w:val="Heading2"/>
      </w:pPr>
      <w:r>
        <w:t>Guided VerseVAD workflow</w:t>
      </w:r>
    </w:p>
    <w:p>
      <w:pPr>
        <w:pStyle w:val="ListNumber"/>
      </w:pPr>
      <w:r>
        <w:t>Select the built-in or an indexed private reference corpus.</w:t>
      </w:r>
    </w:p>
    <w:p>
      <w:pPr>
        <w:pStyle w:val="ListNumber"/>
      </w:pPr>
      <w:r>
        <w:t>Run the fixed VerseMap Standard Profile without substituting interactive settings.</w:t>
      </w:r>
    </w:p>
    <w:p>
      <w:pPr>
        <w:pStyle w:val="ListNumber"/>
      </w:pPr>
      <w:r>
        <w:t>Check model release, eligible counts, coverage, and shared weight.</w:t>
      </w:r>
    </w:p>
    <w:p>
      <w:pPr>
        <w:pStyle w:val="ListNumber"/>
      </w:pPr>
      <w:r>
        <w:t>Read PCA coordinates as location labels, not interpretations.</w:t>
      </w:r>
    </w:p>
    <w:p>
      <w:pPr>
        <w:pStyle w:val="ListNumber"/>
      </w:pPr>
      <w:r>
        <w:t>Inspect nearest poem and poet centroid in the full-space evidence.</w:t>
      </w:r>
    </w:p>
    <w:p>
      <w:pPr>
        <w:pStyle w:val="ListNumber"/>
      </w:pPr>
      <w:r>
        <w:t>Compare the target and neighbor closely to identify agreements and productive mismatches.</w:t>
      </w:r>
    </w:p>
    <w:p>
      <w:pPr>
        <w:keepNext/>
        <w:jc w:val="center"/>
      </w:pPr>
      <w:r/>
    </w:p>
    <w:p>
      <w:pPr>
        <w:pStyle w:val="Caption"/>
        <w:jc w:val="center"/>
      </w:pPr>
      <w:r>
        <w:t>Figure 4. VerseMap's two PCA axes are a display projection, not the full distance calculation.</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The plotted point looks closest to Poet X, but the table names a poem by Poet Y as the nearest reference neighbor. A learner assumes the software is inconsistent."/>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The plotted point looks closest to Poet X, but the table names a poem by Poet Y as the nearest reference neighbor. A learner assumes the software is inconsistent.</w:t>
            </w:r>
          </w:p>
        </w:tc>
      </w:tr>
    </w:tbl>
    <w:p>
      <w:pPr>
        <w:spacing w:after="0"/>
      </w:pPr>
    </w:p>
    <w:p>
      <w:pPr>
        <w:pStyle w:val="ListBullet"/>
      </w:pPr>
      <w:r>
        <w:t>Explain projection versus full-space distance.</w:t>
      </w:r>
    </w:p>
    <w:p>
      <w:pPr>
        <w:pStyle w:val="ListBullet"/>
      </w:pPr>
      <w:r>
        <w:t>Identify the metadata needed to reproduce the comparison.</w:t>
      </w:r>
    </w:p>
    <w:p>
      <w:pPr>
        <w:pStyle w:val="ListBullet"/>
      </w:pPr>
      <w:r>
        <w:t>Write two close-reading questions generated by the unexpected neighbor.</w:t>
      </w:r>
    </w:p>
    <w:p>
      <w:pPr>
        <w:pStyle w:val="ListBullet"/>
      </w:pPr>
      <w:r>
        <w:t>Name one corpus-composition limitation.</w:t>
      </w:r>
    </w:p>
    <w:p>
      <w:pPr>
        <w:pStyle w:val="Heading2"/>
      </w:pPr>
      <w:r>
        <w:t>Interpretation protocol</w:t>
      </w:r>
    </w:p>
    <w:p>
      <w:pPr>
        <w:pStyle w:val="ListNumber"/>
      </w:pPr>
      <w:r>
        <w:t>Treat axes as composite coordinates.</w:t>
      </w:r>
    </w:p>
    <w:p>
      <w:pPr>
        <w:pStyle w:val="ListNumber"/>
      </w:pPr>
      <w:r>
        <w:t>Distinguish poem neighbors from poet centroids.</w:t>
      </w:r>
    </w:p>
    <w:p>
      <w:pPr>
        <w:pStyle w:val="ListNumber"/>
      </w:pPr>
      <w:r>
        <w:t>Name the reference corpus and model release.</w:t>
      </w:r>
    </w:p>
    <w:p>
      <w:pPr>
        <w:pStyle w:val="ListNumber"/>
      </w:pPr>
      <w:r>
        <w:t>Use similarity to ask questions, not establish influence or genre.</w:t>
      </w:r>
    </w:p>
    <w:p>
      <w:r>
        <w:rPr>
          <w:b/>
        </w:rPr>
        <w:t xml:space="preserve">Model decision. </w:t>
      </w:r>
      <w:r>
        <w:t>Explain that the plot is a two-axis projection while neighbor ranking uses fuller standardized evidence, then investigate the unexpected comparison through close reading.</w:t>
      </w:r>
    </w:p>
    <w:p>
      <w:pPr>
        <w:pStyle w:val="Heading2"/>
      </w:pPr>
      <w:r>
        <w:t>Limitations and common failure modes</w:t>
      </w:r>
    </w:p>
    <w:p>
      <w:pPr>
        <w:pStyle w:val="ListBullet"/>
      </w:pPr>
      <w:r>
        <w:t>PCA suppresses dimensions not visible in two axes.</w:t>
      </w:r>
    </w:p>
    <w:p>
      <w:pPr>
        <w:pStyle w:val="ListBullet"/>
      </w:pPr>
      <w:r>
        <w:t>Reference-corpus selection shapes the available neighborhood.</w:t>
      </w:r>
    </w:p>
    <w:p>
      <w:pPr>
        <w:pStyle w:val="ListBullet"/>
      </w:pPr>
      <w:r>
        <w:t>Similarity does not prove influence, intention, authorship, period, or quality.</w:t>
      </w:r>
    </w:p>
    <w:p>
      <w:r>
        <w:rPr>
          <w:b/>
        </w:rPr>
        <w:t xml:space="preserve">Reject these shortcuts: </w:t>
      </w:r>
      <w:r>
        <w:t>Rename Component 1 as valence and Component 2 as line length without inspecting loadings.; Select the closest point by eye and ignore the reported full-space neighbor.; Change the target's profile settings while leaving reference profiles fixed..</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VerseMap similarity is conditional exploratory evidence and must not be presented as proof of influence, authorship, genre, or value.</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L1.10 · Writing VerseVAD-Assisted Analysis</w:t>
      </w:r>
    </w:p>
    <w:p>
      <w:r>
        <w:rPr>
          <w:b/>
        </w:rPr>
        <w:t xml:space="preserve">Module purpose. </w:t>
      </w:r>
      <w:r>
        <w:t>Transform computational evidence into transparent literary argument with a reproducible methods paragraph, calibrated claims, and explicit limitations.</w:t>
      </w:r>
    </w:p>
    <w:p>
      <w:pPr>
        <w:pStyle w:val="Heading2"/>
      </w:pPr>
      <w:r>
        <w:t>Learning objectives</w:t>
      </w:r>
    </w:p>
    <w:p>
      <w:pPr>
        <w:pStyle w:val="ListBullet"/>
      </w:pPr>
      <w:r>
        <w:t>Write a concise method that names text source, profile, resources, settings, versions, and coverage.</w:t>
      </w:r>
    </w:p>
    <w:p>
      <w:pPr>
        <w:pStyle w:val="ListBullet"/>
      </w:pPr>
      <w:r>
        <w:t>Integrate numerical evidence with quotation-sized public-domain examples or location references.</w:t>
      </w:r>
    </w:p>
    <w:p>
      <w:pPr>
        <w:pStyle w:val="ListBullet"/>
      </w:pPr>
      <w:r>
        <w:t>Distinguish support, complication, and counterevidence.</w:t>
      </w:r>
    </w:p>
    <w:p>
      <w:pPr>
        <w:pStyle w:val="ListBullet"/>
      </w:pPr>
      <w:r>
        <w:t>Select narrative, statistical, and audit exports appropriate to the audience.</w:t>
      </w:r>
    </w:p>
    <w:p>
      <w:pPr>
        <w:pStyle w:val="Heading2"/>
      </w:pPr>
      <w:r>
        <w:t>Why this method matters</w:t>
      </w:r>
    </w:p>
    <w:p>
      <w:r>
        <w:t>Transform computational evidence into transparent literary argument with a reproducible methods paragraph, calibrated claims, and explicit limitations.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**Every reported number must remain traceable to a method and must serve—not replace—the close reading.**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1.10 core concepts"/>
        <w:tblDescription w:val="Definitions and operational meanings for Writing VerseVAD-Assisted Analysis."/>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Claim ladder</w:t>
            </w:r>
          </w:p>
        </w:tc>
        <w:tc>
          <w:tcPr>
            <w:tcW w:type="dxa" w:w="7160"/>
            <w:tcMar>
              <w:top w:w="75" w:type="dxa"/>
              <w:start w:w="100" w:type="dxa"/>
              <w:bottom w:w="75" w:type="dxa"/>
              <w:end w:w="100" w:type="dxa"/>
            </w:tcMar>
            <w:vAlign w:val="center"/>
          </w:tcPr>
          <w:p>
            <w:pPr>
              <w:spacing w:after="0" w:line="264" w:lineRule="auto"/>
            </w:pPr>
            <w:r>
              <w:rPr>
                <w:sz w:val="17"/>
              </w:rPr>
              <w:t>Move from observation to pattern to interpretation, marking the inferential step rather than hiding it.</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Reproducible minimum</w:t>
            </w:r>
          </w:p>
        </w:tc>
        <w:tc>
          <w:tcPr>
            <w:tcW w:type="dxa" w:w="7160"/>
            <w:tcMar>
              <w:top w:w="75" w:type="dxa"/>
              <w:start w:w="100" w:type="dxa"/>
              <w:bottom w:w="75" w:type="dxa"/>
              <w:end w:w="100" w:type="dxa"/>
            </w:tcMar>
            <w:vAlign w:val="center"/>
          </w:tcPr>
          <w:p>
            <w:pPr>
              <w:spacing w:after="0" w:line="264" w:lineRule="auto"/>
            </w:pPr>
            <w:r>
              <w:rPr>
                <w:sz w:val="17"/>
              </w:rPr>
              <w:t>A reader needs the text identity, VerseVAD version, source resources, configuration, evidence scope, and coverage to understand the result.</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Calibrated prose</w:t>
            </w:r>
          </w:p>
        </w:tc>
        <w:tc>
          <w:tcPr>
            <w:tcW w:type="dxa" w:w="7160"/>
            <w:tcMar>
              <w:top w:w="75" w:type="dxa"/>
              <w:start w:w="100" w:type="dxa"/>
              <w:bottom w:w="75" w:type="dxa"/>
              <w:end w:w="100" w:type="dxa"/>
            </w:tcMar>
            <w:vAlign w:val="center"/>
          </w:tcPr>
          <w:p>
            <w:pPr>
              <w:spacing w:after="0" w:line="264" w:lineRule="auto"/>
            </w:pPr>
            <w:r>
              <w:rPr>
                <w:sz w:val="17"/>
              </w:rPr>
              <w:t>Use verbs such as suggests, is associated with, supports, complicates, or directs attention to; reserve proves or reveals for genuinely warranted claims.</w:t>
            </w:r>
          </w:p>
        </w:tc>
      </w:tr>
    </w:tbl>
    <w:p>
      <w:pPr>
        <w:pStyle w:val="Heading2"/>
      </w:pPr>
      <w:r>
        <w:t>Guided VerseVAD workflow</w:t>
      </w:r>
    </w:p>
    <w:p>
      <w:pPr>
        <w:pStyle w:val="ListNumber"/>
      </w:pPr>
      <w:r>
        <w:t>Lead with a literary claim, not a software inventory.</w:t>
      </w:r>
    </w:p>
    <w:p>
      <w:pPr>
        <w:pStyle w:val="ListNumber"/>
      </w:pPr>
      <w:r>
        <w:t>Describe the method compactly before presenting values.</w:t>
      </w:r>
    </w:p>
    <w:p>
      <w:pPr>
        <w:pStyle w:val="ListNumber"/>
      </w:pPr>
      <w:r>
        <w:t>Pair each key result with its denominator and textual example.</w:t>
      </w:r>
    </w:p>
    <w:p>
      <w:pPr>
        <w:pStyle w:val="ListNumber"/>
      </w:pPr>
      <w:r>
        <w:t>Explain at least one finding that complicates the main thesis.</w:t>
      </w:r>
    </w:p>
    <w:p>
      <w:pPr>
        <w:pStyle w:val="ListNumber"/>
      </w:pPr>
      <w:r>
        <w:t>State data and model limitations as consequences for interpretation.</w:t>
      </w:r>
    </w:p>
    <w:p>
      <w:pPr>
        <w:pStyle w:val="ListNumber"/>
      </w:pPr>
      <w:r>
        <w:t>Archive the appropriate exports and notes separately from the public-facing prose.</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draft lists twelve metrics, contains no quotations or line references, omits coverage, and ends by saying the algorithm proves the speaker is powerless."/>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draft lists twelve metrics, contains no quotations or line references, omits coverage, and ends by saying the algorithm proves the speaker is powerless.</w:t>
            </w:r>
          </w:p>
        </w:tc>
      </w:tr>
    </w:tbl>
    <w:p>
      <w:pPr>
        <w:spacing w:after="0"/>
      </w:pPr>
    </w:p>
    <w:p>
      <w:pPr>
        <w:pStyle w:val="ListBullet"/>
      </w:pPr>
      <w:r>
        <w:t>Reorganize the draft around one interpretive claim.</w:t>
      </w:r>
    </w:p>
    <w:p>
      <w:pPr>
        <w:pStyle w:val="ListBullet"/>
      </w:pPr>
      <w:r>
        <w:t>Select three necessary metrics and remove decorative results.</w:t>
      </w:r>
    </w:p>
    <w:p>
      <w:pPr>
        <w:pStyle w:val="ListBullet"/>
      </w:pPr>
      <w:r>
        <w:t>Write a reproducible methods paragraph.</w:t>
      </w:r>
    </w:p>
    <w:p>
      <w:pPr>
        <w:pStyle w:val="ListBullet"/>
      </w:pPr>
      <w:r>
        <w:t>Replace the deterministic conclusion with a calibrated synthesis.</w:t>
      </w:r>
    </w:p>
    <w:p>
      <w:pPr>
        <w:pStyle w:val="Heading2"/>
      </w:pPr>
      <w:r>
        <w:t>Interpretation protocol</w:t>
      </w:r>
    </w:p>
    <w:p>
      <w:pPr>
        <w:pStyle w:val="ListNumber"/>
      </w:pPr>
      <w:r>
        <w:t>Put the poem before the dashboard.</w:t>
      </w:r>
    </w:p>
    <w:p>
      <w:pPr>
        <w:pStyle w:val="ListNumber"/>
      </w:pPr>
      <w:r>
        <w:t>Explain why each metric matters to the claim.</w:t>
      </w:r>
    </w:p>
    <w:p>
      <w:pPr>
        <w:pStyle w:val="ListNumber"/>
      </w:pPr>
      <w:r>
        <w:t>Include counterevidence and missingness.</w:t>
      </w:r>
    </w:p>
    <w:p>
      <w:pPr>
        <w:pStyle w:val="ListNumber"/>
      </w:pPr>
      <w:r>
        <w:t>Keep exact precision in exports and reader-friendly rounding in prose.</w:t>
      </w:r>
    </w:p>
    <w:p>
      <w:r>
        <w:rPr>
          <w:b/>
        </w:rPr>
        <w:t xml:space="preserve">Model decision. </w:t>
      </w:r>
      <w:r>
        <w:t>Rebuild the analysis around a literary claim, a small justified metric set, passage-level evidence, reproducible methods, counterevidence, and consequential limitations.</w:t>
      </w:r>
    </w:p>
    <w:p>
      <w:pPr>
        <w:pStyle w:val="Heading2"/>
      </w:pPr>
      <w:r>
        <w:t>Limitations and common failure modes</w:t>
      </w:r>
    </w:p>
    <w:p>
      <w:pPr>
        <w:pStyle w:val="ListBullet"/>
      </w:pPr>
      <w:r>
        <w:t>A limitations paragraph is not a ritual disclaimer; it must alter the strength or scope of the claim.</w:t>
      </w:r>
    </w:p>
    <w:p>
      <w:pPr>
        <w:pStyle w:val="ListBullet"/>
      </w:pPr>
      <w:r>
        <w:t>A table cannot substitute for an argument.</w:t>
      </w:r>
    </w:p>
    <w:p>
      <w:pPr>
        <w:pStyle w:val="ListBullet"/>
      </w:pPr>
      <w:r>
        <w:t>Reproducibility does not make an interpretation uniquely correct.</w:t>
      </w:r>
    </w:p>
    <w:p>
      <w:r>
        <w:rPr>
          <w:b/>
        </w:rPr>
        <w:t xml:space="preserve">Reject these shortcuts: </w:t>
      </w:r>
      <w:r>
        <w:t>Include every available score to demonstrate comprehensiveness.; Omit settings because the software version guarantees identical results.; Treat a reproducible result as the only defensible interpretation..</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Every reported number must remain traceable to a method and must serve—not replace—the close reading.</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Course Synthesis and Method Reference</w:t>
      </w:r>
    </w:p>
    <w:p>
      <w:r>
        <w:t>Use the following protocol whenever a new question, poem, corpus, software version, or audience changes the analytical situation. The protocol is intentionally conservative: it makes the inferential steps visible and preserves a path back to evidence.</w:t>
      </w:r>
    </w:p>
    <w:p>
      <w:pPr>
        <w:pStyle w:val="ListNumber"/>
      </w:pPr>
      <w:r>
        <w:t>Define the literary question, unit, comparison, and plausible alternative explanation.</w:t>
      </w:r>
    </w:p>
    <w:p>
      <w:pPr>
        <w:pStyle w:val="ListNumber"/>
      </w:pPr>
      <w:r>
        <w:t>Verify text identity, rights, provenance, spelling, lineation, stanza boundaries, and metadata.</w:t>
      </w:r>
    </w:p>
    <w:p>
      <w:pPr>
        <w:pStyle w:val="ListNumber"/>
      </w:pPr>
      <w:r>
        <w:t>Choose the smallest fit-for-purpose profile and document every customization.</w:t>
      </w:r>
    </w:p>
    <w:p>
      <w:pPr>
        <w:pStyle w:val="ListNumber"/>
      </w:pPr>
      <w:r>
        <w:t>Run the analysis and inspect errors, warnings, coverage, denominators, and unresolved dependencies.</w:t>
      </w:r>
    </w:p>
    <w:p>
      <w:pPr>
        <w:pStyle w:val="ListNumber"/>
      </w:pPr>
      <w:r>
        <w:t>Read headline means, normalized accumulation, dispersion, and local evidence in that order when available.</w:t>
      </w:r>
    </w:p>
    <w:p>
      <w:pPr>
        <w:pStyle w:val="ListNumber"/>
      </w:pPr>
      <w:r>
        <w:t>Run only pre-justified sensitivity analyses under comparable settings.</w:t>
      </w:r>
    </w:p>
    <w:p>
      <w:pPr>
        <w:pStyle w:val="ListNumber"/>
      </w:pPr>
      <w:r>
        <w:t>Return to passages or works chosen by a transparent criterion.</w:t>
      </w:r>
    </w:p>
    <w:p>
      <w:pPr>
        <w:pStyle w:val="ListNumber"/>
      </w:pPr>
      <w:r>
        <w:t>Write support, complication, limitation, and reproducibility together.</w:t>
      </w:r>
    </w:p>
    <w:p>
      <w:pPr>
        <w:pStyle w:val="ListNumber"/>
      </w:pPr>
      <w:r>
        <w:t>Archive appropriate exports and private notes under a documented storage and rights plan.</w:t>
      </w:r>
    </w:p>
    <w:p>
      <w:pPr>
        <w:pStyle w:val="Heading2"/>
      </w:pPr>
      <w:r>
        <w:t>Construct-separation matrix</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Construct separation matrix"/>
        <w:tblDescription w:val="Evidence types, proper descriptions, and common misinterpretations."/>
      </w:tblPr>
      <w:tblGrid>
        <w:gridCol w:w="3120"/>
        <w:gridCol w:w="3120"/>
        <w:gridCol w:w="3120"/>
      </w:tblGrid>
      <w:tr>
        <w:trPr>
          <w:cantSplit/>
          <w:trHeight w:hRule="atLeast"/>
          <w:tblHeader w:val="true"/>
        </w:trPr>
        <w:tc>
          <w:tcPr>
            <w:tcW w:type="dxa" w:w="1800"/>
            <w:tcMar>
              <w:top w:w="75" w:type="dxa"/>
              <w:start w:w="100" w:type="dxa"/>
              <w:bottom w:w="75" w:type="dxa"/>
              <w:end w:w="100" w:type="dxa"/>
            </w:tcMar>
            <w:vAlign w:val="center"/>
            <w:shd w:fill="E8EEF5"/>
          </w:tcPr>
          <w:p>
            <w:pPr>
              <w:spacing w:after="0" w:line="264" w:lineRule="auto"/>
            </w:pPr>
            <w:r>
              <w:rPr>
                <w:b/>
                <w:color w:val="1F4D78"/>
                <w:sz w:val="17"/>
              </w:rPr>
              <w:t>Evidence</w:t>
            </w:r>
          </w:p>
        </w:tc>
        <w:tc>
          <w:tcPr>
            <w:tcW w:type="dxa" w:w="3780"/>
            <w:tcMar>
              <w:top w:w="75" w:type="dxa"/>
              <w:start w:w="100" w:type="dxa"/>
              <w:bottom w:w="75" w:type="dxa"/>
              <w:end w:w="100" w:type="dxa"/>
            </w:tcMar>
            <w:vAlign w:val="center"/>
            <w:shd w:fill="E8EEF5"/>
          </w:tcPr>
          <w:p>
            <w:pPr>
              <w:spacing w:after="0" w:line="264" w:lineRule="auto"/>
            </w:pPr>
            <w:r>
              <w:rPr>
                <w:b/>
                <w:color w:val="1F4D78"/>
                <w:sz w:val="17"/>
              </w:rPr>
              <w:t>What it describes</w:t>
            </w:r>
          </w:p>
        </w:tc>
        <w:tc>
          <w:tcPr>
            <w:tcW w:type="dxa" w:w="3780"/>
            <w:tcMar>
              <w:top w:w="75" w:type="dxa"/>
              <w:start w:w="100" w:type="dxa"/>
              <w:bottom w:w="75" w:type="dxa"/>
              <w:end w:w="100" w:type="dxa"/>
            </w:tcMar>
            <w:vAlign w:val="center"/>
            <w:shd w:fill="E8EEF5"/>
          </w:tcPr>
          <w:p>
            <w:pPr>
              <w:spacing w:after="0" w:line="264" w:lineRule="auto"/>
            </w:pPr>
            <w:r>
              <w:rPr>
                <w:b/>
                <w:color w:val="1F4D78"/>
                <w:sz w:val="17"/>
              </w:rPr>
              <w:t>Do not call it</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VAD mean</w:t>
            </w:r>
          </w:p>
        </w:tc>
        <w:tc>
          <w:tcPr>
            <w:tcW w:type="dxa" w:w="3780"/>
            <w:tcMar>
              <w:top w:w="75" w:type="dxa"/>
              <w:start w:w="100" w:type="dxa"/>
              <w:bottom w:w="75" w:type="dxa"/>
              <w:end w:w="100" w:type="dxa"/>
            </w:tcMar>
            <w:vAlign w:val="center"/>
          </w:tcPr>
          <w:p>
            <w:pPr>
              <w:spacing w:after="0" w:line="264" w:lineRule="auto"/>
            </w:pPr>
            <w:r>
              <w:rPr>
                <w:sz w:val="17"/>
              </w:rPr>
              <w:t>Center of matched normative lexical ratings</w:t>
            </w:r>
          </w:p>
        </w:tc>
        <w:tc>
          <w:tcPr>
            <w:tcW w:type="dxa" w:w="3780"/>
            <w:tcMar>
              <w:top w:w="75" w:type="dxa"/>
              <w:start w:w="100" w:type="dxa"/>
              <w:bottom w:w="75" w:type="dxa"/>
              <w:end w:w="100" w:type="dxa"/>
            </w:tcMar>
            <w:vAlign w:val="center"/>
          </w:tcPr>
          <w:p>
            <w:pPr>
              <w:spacing w:after="0" w:line="264" w:lineRule="auto"/>
            </w:pPr>
            <w:r>
              <w:rPr>
                <w:sz w:val="17"/>
              </w:rPr>
              <w:t>The poem's or speaker's actual emotion</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Within-poem SD</w:t>
            </w:r>
          </w:p>
        </w:tc>
        <w:tc>
          <w:tcPr>
            <w:tcW w:type="dxa" w:w="3780"/>
            <w:tcMar>
              <w:top w:w="75" w:type="dxa"/>
              <w:start w:w="100" w:type="dxa"/>
              <w:bottom w:w="75" w:type="dxa"/>
              <w:end w:w="100" w:type="dxa"/>
            </w:tcMar>
            <w:vAlign w:val="center"/>
          </w:tcPr>
          <w:p>
            <w:pPr>
              <w:spacing w:after="0" w:line="264" w:lineRule="auto"/>
            </w:pPr>
            <w:r>
              <w:rPr>
                <w:sz w:val="17"/>
              </w:rPr>
              <w:t>Spread among retained ratings inside a poem</w:t>
            </w:r>
          </w:p>
        </w:tc>
        <w:tc>
          <w:tcPr>
            <w:tcW w:type="dxa" w:w="3780"/>
            <w:tcMar>
              <w:top w:w="75" w:type="dxa"/>
              <w:start w:w="100" w:type="dxa"/>
              <w:bottom w:w="75" w:type="dxa"/>
              <w:end w:w="100" w:type="dxa"/>
            </w:tcMar>
            <w:vAlign w:val="center"/>
          </w:tcPr>
          <w:p>
            <w:pPr>
              <w:spacing w:after="0" w:line="264" w:lineRule="auto"/>
            </w:pPr>
            <w:r>
              <w:rPr>
                <w:sz w:val="17"/>
              </w:rPr>
              <w:t>Confidence in the mean</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Coverage</w:t>
            </w:r>
          </w:p>
        </w:tc>
        <w:tc>
          <w:tcPr>
            <w:tcW w:type="dxa" w:w="3780"/>
            <w:tcMar>
              <w:top w:w="75" w:type="dxa"/>
              <w:start w:w="100" w:type="dxa"/>
              <w:bottom w:w="75" w:type="dxa"/>
              <w:end w:w="100" w:type="dxa"/>
            </w:tcMar>
            <w:vAlign w:val="center"/>
          </w:tcPr>
          <w:p>
            <w:pPr>
              <w:spacing w:after="0" w:line="264" w:lineRule="auto"/>
            </w:pPr>
            <w:r>
              <w:rPr>
                <w:sz w:val="17"/>
              </w:rPr>
              <w:t>How much eligible evidence matched</w:t>
            </w:r>
          </w:p>
        </w:tc>
        <w:tc>
          <w:tcPr>
            <w:tcW w:type="dxa" w:w="3780"/>
            <w:tcMar>
              <w:top w:w="75" w:type="dxa"/>
              <w:start w:w="100" w:type="dxa"/>
              <w:bottom w:w="75" w:type="dxa"/>
              <w:end w:w="100" w:type="dxa"/>
            </w:tcMar>
            <w:vAlign w:val="center"/>
          </w:tcPr>
          <w:p>
            <w:pPr>
              <w:spacing w:after="0" w:line="264" w:lineRule="auto"/>
            </w:pPr>
            <w:r>
              <w:rPr>
                <w:sz w:val="17"/>
              </w:rPr>
              <w:t>Probability the interpretation is correct</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Range</w:t>
            </w:r>
          </w:p>
        </w:tc>
        <w:tc>
          <w:tcPr>
            <w:tcW w:type="dxa" w:w="3780"/>
            <w:tcMar>
              <w:top w:w="75" w:type="dxa"/>
              <w:start w:w="100" w:type="dxa"/>
              <w:bottom w:w="75" w:type="dxa"/>
              <w:end w:w="100" w:type="dxa"/>
            </w:tcMar>
            <w:vAlign w:val="center"/>
          </w:tcPr>
          <w:p>
            <w:pPr>
              <w:spacing w:after="0" w:line="264" w:lineRule="auto"/>
            </w:pPr>
            <w:r>
              <w:rPr>
                <w:sz w:val="17"/>
              </w:rPr>
              <w:t>Observed maximum minus minimum</w:t>
            </w:r>
          </w:p>
        </w:tc>
        <w:tc>
          <w:tcPr>
            <w:tcW w:type="dxa" w:w="3780"/>
            <w:tcMar>
              <w:top w:w="75" w:type="dxa"/>
              <w:start w:w="100" w:type="dxa"/>
              <w:bottom w:w="75" w:type="dxa"/>
              <w:end w:w="100" w:type="dxa"/>
            </w:tcMar>
            <w:vAlign w:val="center"/>
          </w:tcPr>
          <w:p>
            <w:pPr>
              <w:spacing w:after="0" w:line="264" w:lineRule="auto"/>
            </w:pPr>
            <w:r>
              <w:rPr>
                <w:sz w:val="17"/>
              </w:rPr>
              <w:t>Effect size or significance</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Z-score</w:t>
            </w:r>
          </w:p>
        </w:tc>
        <w:tc>
          <w:tcPr>
            <w:tcW w:type="dxa" w:w="3780"/>
            <w:tcMar>
              <w:top w:w="75" w:type="dxa"/>
              <w:start w:w="100" w:type="dxa"/>
              <w:bottom w:w="75" w:type="dxa"/>
              <w:end w:w="100" w:type="dxa"/>
            </w:tcMar>
            <w:vAlign w:val="center"/>
          </w:tcPr>
          <w:p>
            <w:pPr>
              <w:spacing w:after="0" w:line="264" w:lineRule="auto"/>
            </w:pPr>
            <w:r>
              <w:rPr>
                <w:sz w:val="17"/>
              </w:rPr>
              <w:t>Relative position in a named reference distribution</w:t>
            </w:r>
          </w:p>
        </w:tc>
        <w:tc>
          <w:tcPr>
            <w:tcW w:type="dxa" w:w="3780"/>
            <w:tcMar>
              <w:top w:w="75" w:type="dxa"/>
              <w:start w:w="100" w:type="dxa"/>
              <w:bottom w:w="75" w:type="dxa"/>
              <w:end w:w="100" w:type="dxa"/>
            </w:tcMar>
            <w:vAlign w:val="center"/>
          </w:tcPr>
          <w:p>
            <w:pPr>
              <w:spacing w:after="0" w:line="264" w:lineRule="auto"/>
            </w:pPr>
            <w:r>
              <w:rPr>
                <w:sz w:val="17"/>
              </w:rPr>
              <w:t>Universal normality or value</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PCA coordinate</w:t>
            </w:r>
          </w:p>
        </w:tc>
        <w:tc>
          <w:tcPr>
            <w:tcW w:type="dxa" w:w="3780"/>
            <w:tcMar>
              <w:top w:w="75" w:type="dxa"/>
              <w:start w:w="100" w:type="dxa"/>
              <w:bottom w:w="75" w:type="dxa"/>
              <w:end w:w="100" w:type="dxa"/>
            </w:tcMar>
            <w:vAlign w:val="center"/>
          </w:tcPr>
          <w:p>
            <w:pPr>
              <w:spacing w:after="0" w:line="264" w:lineRule="auto"/>
            </w:pPr>
            <w:r>
              <w:rPr>
                <w:sz w:val="17"/>
              </w:rPr>
              <w:t>Composite two-dimensional display location</w:t>
            </w:r>
          </w:p>
        </w:tc>
        <w:tc>
          <w:tcPr>
            <w:tcW w:type="dxa" w:w="3780"/>
            <w:tcMar>
              <w:top w:w="75" w:type="dxa"/>
              <w:start w:w="100" w:type="dxa"/>
              <w:bottom w:w="75" w:type="dxa"/>
              <w:end w:w="100" w:type="dxa"/>
            </w:tcMar>
            <w:vAlign w:val="center"/>
          </w:tcPr>
          <w:p>
            <w:pPr>
              <w:spacing w:after="0" w:line="264" w:lineRule="auto"/>
            </w:pPr>
            <w:r>
              <w:rPr>
                <w:sz w:val="17"/>
              </w:rPr>
              <w:t>A single original feature</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Nearest centroid</w:t>
            </w:r>
          </w:p>
        </w:tc>
        <w:tc>
          <w:tcPr>
            <w:tcW w:type="dxa" w:w="3780"/>
            <w:tcMar>
              <w:top w:w="75" w:type="dxa"/>
              <w:start w:w="100" w:type="dxa"/>
              <w:bottom w:w="75" w:type="dxa"/>
              <w:end w:w="100" w:type="dxa"/>
            </w:tcMar>
            <w:vAlign w:val="center"/>
          </w:tcPr>
          <w:p>
            <w:pPr>
              <w:spacing w:after="0" w:line="264" w:lineRule="auto"/>
            </w:pPr>
            <w:r>
              <w:rPr>
                <w:sz w:val="17"/>
              </w:rPr>
              <w:t>Closest candidate summary under a named geometry</w:t>
            </w:r>
          </w:p>
        </w:tc>
        <w:tc>
          <w:tcPr>
            <w:tcW w:type="dxa" w:w="3780"/>
            <w:tcMar>
              <w:top w:w="75" w:type="dxa"/>
              <w:start w:w="100" w:type="dxa"/>
              <w:bottom w:w="75" w:type="dxa"/>
              <w:end w:w="100" w:type="dxa"/>
            </w:tcMar>
            <w:vAlign w:val="center"/>
          </w:tcPr>
          <w:p>
            <w:pPr>
              <w:spacing w:after="0" w:line="264" w:lineRule="auto"/>
            </w:pPr>
            <w:r>
              <w:rPr>
                <w:sz w:val="17"/>
              </w:rPr>
              <w:t>Diagnosis, authorship, or genre proof</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VV-PRE</w:t>
            </w:r>
          </w:p>
        </w:tc>
        <w:tc>
          <w:tcPr>
            <w:tcW w:type="dxa" w:w="3780"/>
            <w:tcMar>
              <w:top w:w="75" w:type="dxa"/>
              <w:start w:w="100" w:type="dxa"/>
              <w:bottom w:w="75" w:type="dxa"/>
              <w:end w:w="100" w:type="dxa"/>
            </w:tcMar>
            <w:vAlign w:val="center"/>
          </w:tcPr>
          <w:p>
            <w:pPr>
              <w:spacing w:after="0" w:line="264" w:lineRule="auto"/>
            </w:pPr>
            <w:r>
              <w:rPr>
                <w:sz w:val="17"/>
              </w:rPr>
              <w:t>Experimental surface processing accessibility</w:t>
            </w:r>
          </w:p>
        </w:tc>
        <w:tc>
          <w:tcPr>
            <w:tcW w:type="dxa" w:w="3780"/>
            <w:tcMar>
              <w:top w:w="75" w:type="dxa"/>
              <w:start w:w="100" w:type="dxa"/>
              <w:bottom w:w="75" w:type="dxa"/>
              <w:end w:w="100" w:type="dxa"/>
            </w:tcMar>
            <w:vAlign w:val="center"/>
          </w:tcPr>
          <w:p>
            <w:pPr>
              <w:spacing w:after="0" w:line="264" w:lineRule="auto"/>
            </w:pPr>
            <w:r>
              <w:rPr>
                <w:sz w:val="17"/>
              </w:rPr>
              <w:t>Interpretive or aesthetic simplicity</w:t>
            </w:r>
          </w:p>
        </w:tc>
      </w:tr>
    </w:tbl>
    <w:p>
      <w:pPr>
        <w:pStyle w:val="Heading1"/>
      </w:pPr>
      <w:r>
        <w:t>Final Conceptual Assessment</w:t>
      </w:r>
    </w:p>
    <w:p>
      <w:r>
        <w:t>Complete all 30 items without consulting the evaluator key. Select the single best answer. The conceptual passing threshold is 24/30; the complete passing rule is: **80% overall (24/30) and no critical safety/methodology domain below 70%**.</w:t>
      </w:r>
    </w:p>
    <w:tbl>
      <w:tblPr>
        <w:tblW w:type="dxa" w:w="9360"/>
        <w:jc w:val="center"/>
        <w:tblLook w:firstColumn="1" w:firstRow="1" w:lastColumn="0" w:lastRow="0" w:noHBand="0" w:noVBand="1" w:val="04A0"/>
        <w:tblLayout w:type="fixed"/>
        <w:tblBorders>
          <w:top w:val="single" w:sz="6" w:space="0" w:color="8A3B20"/>
          <w:left w:val="single" w:sz="6" w:space="0" w:color="8A3B20"/>
          <w:bottom w:val="single" w:sz="6" w:space="0" w:color="8A3B20"/>
          <w:right w:val="single" w:sz="6" w:space="0" w:color="8A3B20"/>
          <w:insideH w:val="single" w:sz="6" w:space="0" w:color="8A3B20"/>
          <w:insideV w:val="single" w:sz="6" w:space="0" w:color="8A3B20"/>
        </w:tblBorders>
        <w:tblCaption w:val="Caution callout"/>
        <w:tblDescription w:val="Passing the conceptual assessment alone does not complete the course. The applied assignment and all critical-domain requirements remain mandatory."/>
      </w:tblPr>
      <w:tblGrid>
        <w:gridCol w:w="9360"/>
      </w:tblGrid>
      <w:tr>
        <w:trPr>
          <w:tblHeader w:val="true"/>
        </w:trPr>
        <w:tc>
          <w:tcPr>
            <w:tcW w:type="dxa" w:w="9360"/>
            <w:shd w:fill="F4E9E3"/>
            <w:tcMar>
              <w:top w:w="140" w:type="dxa"/>
              <w:start w:w="160" w:type="dxa"/>
              <w:bottom w:w="140" w:type="dxa"/>
              <w:end w:w="160" w:type="dxa"/>
            </w:tcMar>
          </w:tcPr>
          <w:p>
            <w:pPr>
              <w:spacing w:after="0"/>
            </w:pPr>
            <w:r>
              <w:rPr>
                <w:b/>
                <w:color w:val="8A3B20"/>
              </w:rPr>
              <w:t xml:space="preserve">CAUTION: </w:t>
            </w:r>
            <w:r>
              <w:t>Passing the conceptual assessment alone does not complete the course. The applied assignment and all critical-domain requirements remain mandatory.</w:t>
            </w:r>
          </w:p>
        </w:tc>
      </w:tr>
    </w:tbl>
    <w:p>
      <w:pPr>
        <w:spacing w:after="0"/>
      </w:pP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earner answer sheet"/>
        <w:tblDescription w:val="Blank response grid for the final conceptual assessment."/>
      </w:tblPr>
      <w:tblGrid>
        <w:gridCol w:w="1560"/>
        <w:gridCol w:w="1560"/>
        <w:gridCol w:w="1560"/>
        <w:gridCol w:w="1560"/>
        <w:gridCol w:w="1560"/>
        <w:gridCol w:w="1560"/>
      </w:tblGrid>
      <w:tr>
        <w:trPr>
          <w:cantSplit/>
          <w:trHeight w:hRule="atLeast"/>
          <w:tblHeader w:val="true"/>
        </w:trPr>
        <w:tc>
          <w:tcPr>
            <w:tcW w:type="dxa" w:w="700"/>
            <w:tcMar>
              <w:top w:w="75" w:type="dxa"/>
              <w:start w:w="100" w:type="dxa"/>
              <w:bottom w:w="75" w:type="dxa"/>
              <w:end w:w="100" w:type="dxa"/>
            </w:tcMar>
            <w:vAlign w:val="center"/>
            <w:shd w:fill="E8EEF5"/>
          </w:tcPr>
          <w:p>
            <w:pPr>
              <w:spacing w:after="0" w:line="264" w:lineRule="auto"/>
            </w:pPr>
            <w:r>
              <w:rPr>
                <w:b/>
                <w:color w:val="1F4D78"/>
                <w:sz w:val="17"/>
              </w:rPr>
              <w:t>Item</w:t>
            </w:r>
          </w:p>
        </w:tc>
        <w:tc>
          <w:tcPr>
            <w:tcW w:type="dxa" w:w="1800"/>
            <w:tcMar>
              <w:top w:w="75" w:type="dxa"/>
              <w:start w:w="100" w:type="dxa"/>
              <w:bottom w:w="75" w:type="dxa"/>
              <w:end w:w="100" w:type="dxa"/>
            </w:tcMar>
            <w:vAlign w:val="center"/>
            <w:shd w:fill="E8EEF5"/>
          </w:tcPr>
          <w:p>
            <w:pPr>
              <w:spacing w:after="0" w:line="264" w:lineRule="auto"/>
            </w:pPr>
            <w:r>
              <w:rPr>
                <w:b/>
                <w:color w:val="1F4D78"/>
                <w:sz w:val="17"/>
              </w:rPr>
              <w:t>Response</w:t>
            </w:r>
          </w:p>
        </w:tc>
        <w:tc>
          <w:tcPr>
            <w:tcW w:type="dxa" w:w="1100"/>
            <w:tcMar>
              <w:top w:w="75" w:type="dxa"/>
              <w:start w:w="100" w:type="dxa"/>
              <w:bottom w:w="75" w:type="dxa"/>
              <w:end w:w="100" w:type="dxa"/>
            </w:tcMar>
            <w:vAlign w:val="center"/>
            <w:shd w:fill="E8EEF5"/>
          </w:tcPr>
          <w:p>
            <w:pPr>
              <w:spacing w:after="0" w:line="264" w:lineRule="auto"/>
            </w:pPr>
            <w:r>
              <w:rPr>
                <w:b/>
                <w:color w:val="1F4D78"/>
                <w:sz w:val="17"/>
              </w:rPr>
              <w:t>Module</w:t>
            </w:r>
          </w:p>
        </w:tc>
        <w:tc>
          <w:tcPr>
            <w:tcW w:type="dxa" w:w="700"/>
            <w:tcMar>
              <w:top w:w="75" w:type="dxa"/>
              <w:start w:w="100" w:type="dxa"/>
              <w:bottom w:w="75" w:type="dxa"/>
              <w:end w:w="100" w:type="dxa"/>
            </w:tcMar>
            <w:vAlign w:val="center"/>
            <w:shd w:fill="E8EEF5"/>
          </w:tcPr>
          <w:p>
            <w:pPr>
              <w:spacing w:after="0" w:line="264" w:lineRule="auto"/>
            </w:pPr>
            <w:r>
              <w:rPr>
                <w:b/>
                <w:color w:val="1F4D78"/>
                <w:sz w:val="17"/>
              </w:rPr>
              <w:t>Item</w:t>
            </w:r>
          </w:p>
        </w:tc>
        <w:tc>
          <w:tcPr>
            <w:tcW w:type="dxa" w:w="1800"/>
            <w:tcMar>
              <w:top w:w="75" w:type="dxa"/>
              <w:start w:w="100" w:type="dxa"/>
              <w:bottom w:w="75" w:type="dxa"/>
              <w:end w:w="100" w:type="dxa"/>
            </w:tcMar>
            <w:vAlign w:val="center"/>
            <w:shd w:fill="E8EEF5"/>
          </w:tcPr>
          <w:p>
            <w:pPr>
              <w:spacing w:after="0" w:line="264" w:lineRule="auto"/>
            </w:pPr>
            <w:r>
              <w:rPr>
                <w:b/>
                <w:color w:val="1F4D78"/>
                <w:sz w:val="17"/>
              </w:rPr>
              <w:t>Response</w:t>
            </w:r>
          </w:p>
        </w:tc>
        <w:tc>
          <w:tcPr>
            <w:tcW w:type="dxa" w:w="3260"/>
            <w:tcMar>
              <w:top w:w="75" w:type="dxa"/>
              <w:start w:w="100" w:type="dxa"/>
              <w:bottom w:w="75" w:type="dxa"/>
              <w:end w:w="100" w:type="dxa"/>
            </w:tcMar>
            <w:vAlign w:val="center"/>
            <w:shd w:fill="E8EEF5"/>
          </w:tcPr>
          <w:p>
            <w:pPr>
              <w:spacing w:after="0" w:line="264" w:lineRule="auto"/>
            </w:pPr>
            <w:r>
              <w:rPr>
                <w:b/>
                <w:color w:val="1F4D78"/>
                <w:sz w:val="17"/>
              </w:rPr>
              <w:t>Module</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L1.1</w:t>
            </w:r>
          </w:p>
        </w:tc>
        <w:tc>
          <w:tcPr>
            <w:tcW w:type="dxa" w:w="700"/>
            <w:tcMar>
              <w:top w:w="75" w:type="dxa"/>
              <w:start w:w="100" w:type="dxa"/>
              <w:bottom w:w="75" w:type="dxa"/>
              <w:end w:w="100" w:type="dxa"/>
            </w:tcMar>
            <w:vAlign w:val="center"/>
          </w:tcPr>
          <w:p>
            <w:pPr>
              <w:spacing w:after="0" w:line="264" w:lineRule="auto"/>
            </w:pPr>
            <w:r>
              <w:rPr>
                <w:sz w:val="17"/>
              </w:rPr>
              <w:t>16</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L1.6</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2</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L1.1</w:t>
            </w:r>
          </w:p>
        </w:tc>
        <w:tc>
          <w:tcPr>
            <w:tcW w:type="dxa" w:w="700"/>
            <w:tcMar>
              <w:top w:w="75" w:type="dxa"/>
              <w:start w:w="100" w:type="dxa"/>
              <w:bottom w:w="75" w:type="dxa"/>
              <w:end w:w="100" w:type="dxa"/>
            </w:tcMar>
            <w:vAlign w:val="center"/>
          </w:tcPr>
          <w:p>
            <w:pPr>
              <w:spacing w:after="0" w:line="264" w:lineRule="auto"/>
            </w:pPr>
            <w:r>
              <w:rPr>
                <w:sz w:val="17"/>
              </w:rPr>
              <w:t>17</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L1.6</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3</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L1.1</w:t>
            </w:r>
          </w:p>
        </w:tc>
        <w:tc>
          <w:tcPr>
            <w:tcW w:type="dxa" w:w="700"/>
            <w:tcMar>
              <w:top w:w="75" w:type="dxa"/>
              <w:start w:w="100" w:type="dxa"/>
              <w:bottom w:w="75" w:type="dxa"/>
              <w:end w:w="100" w:type="dxa"/>
            </w:tcMar>
            <w:vAlign w:val="center"/>
          </w:tcPr>
          <w:p>
            <w:pPr>
              <w:spacing w:after="0" w:line="264" w:lineRule="auto"/>
            </w:pPr>
            <w:r>
              <w:rPr>
                <w:sz w:val="17"/>
              </w:rPr>
              <w:t>18</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L1.6</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4</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L1.2</w:t>
            </w:r>
          </w:p>
        </w:tc>
        <w:tc>
          <w:tcPr>
            <w:tcW w:type="dxa" w:w="700"/>
            <w:tcMar>
              <w:top w:w="75" w:type="dxa"/>
              <w:start w:w="100" w:type="dxa"/>
              <w:bottom w:w="75" w:type="dxa"/>
              <w:end w:w="100" w:type="dxa"/>
            </w:tcMar>
            <w:vAlign w:val="center"/>
          </w:tcPr>
          <w:p>
            <w:pPr>
              <w:spacing w:after="0" w:line="264" w:lineRule="auto"/>
            </w:pPr>
            <w:r>
              <w:rPr>
                <w:sz w:val="17"/>
              </w:rPr>
              <w:t>19</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L1.7</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5</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L1.2</w:t>
            </w:r>
          </w:p>
        </w:tc>
        <w:tc>
          <w:tcPr>
            <w:tcW w:type="dxa" w:w="700"/>
            <w:tcMar>
              <w:top w:w="75" w:type="dxa"/>
              <w:start w:w="100" w:type="dxa"/>
              <w:bottom w:w="75" w:type="dxa"/>
              <w:end w:w="100" w:type="dxa"/>
            </w:tcMar>
            <w:vAlign w:val="center"/>
          </w:tcPr>
          <w:p>
            <w:pPr>
              <w:spacing w:after="0" w:line="264" w:lineRule="auto"/>
            </w:pPr>
            <w:r>
              <w:rPr>
                <w:sz w:val="17"/>
              </w:rPr>
              <w:t>20</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L1.7</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6</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L1.2</w:t>
            </w:r>
          </w:p>
        </w:tc>
        <w:tc>
          <w:tcPr>
            <w:tcW w:type="dxa" w:w="700"/>
            <w:tcMar>
              <w:top w:w="75" w:type="dxa"/>
              <w:start w:w="100" w:type="dxa"/>
              <w:bottom w:w="75" w:type="dxa"/>
              <w:end w:w="100" w:type="dxa"/>
            </w:tcMar>
            <w:vAlign w:val="center"/>
          </w:tcPr>
          <w:p>
            <w:pPr>
              <w:spacing w:after="0" w:line="264" w:lineRule="auto"/>
            </w:pPr>
            <w:r>
              <w:rPr>
                <w:sz w:val="17"/>
              </w:rPr>
              <w:t>21</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L1.7</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7</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L1.3</w:t>
            </w:r>
          </w:p>
        </w:tc>
        <w:tc>
          <w:tcPr>
            <w:tcW w:type="dxa" w:w="700"/>
            <w:tcMar>
              <w:top w:w="75" w:type="dxa"/>
              <w:start w:w="100" w:type="dxa"/>
              <w:bottom w:w="75" w:type="dxa"/>
              <w:end w:w="100" w:type="dxa"/>
            </w:tcMar>
            <w:vAlign w:val="center"/>
          </w:tcPr>
          <w:p>
            <w:pPr>
              <w:spacing w:after="0" w:line="264" w:lineRule="auto"/>
            </w:pPr>
            <w:r>
              <w:rPr>
                <w:sz w:val="17"/>
              </w:rPr>
              <w:t>22</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L1.8</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8</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L1.3</w:t>
            </w:r>
          </w:p>
        </w:tc>
        <w:tc>
          <w:tcPr>
            <w:tcW w:type="dxa" w:w="700"/>
            <w:tcMar>
              <w:top w:w="75" w:type="dxa"/>
              <w:start w:w="100" w:type="dxa"/>
              <w:bottom w:w="75" w:type="dxa"/>
              <w:end w:w="100" w:type="dxa"/>
            </w:tcMar>
            <w:vAlign w:val="center"/>
          </w:tcPr>
          <w:p>
            <w:pPr>
              <w:spacing w:after="0" w:line="264" w:lineRule="auto"/>
            </w:pPr>
            <w:r>
              <w:rPr>
                <w:sz w:val="17"/>
              </w:rPr>
              <w:t>23</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L1.8</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9</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L1.3</w:t>
            </w:r>
          </w:p>
        </w:tc>
        <w:tc>
          <w:tcPr>
            <w:tcW w:type="dxa" w:w="700"/>
            <w:tcMar>
              <w:top w:w="75" w:type="dxa"/>
              <w:start w:w="100" w:type="dxa"/>
              <w:bottom w:w="75" w:type="dxa"/>
              <w:end w:w="100" w:type="dxa"/>
            </w:tcMar>
            <w:vAlign w:val="center"/>
          </w:tcPr>
          <w:p>
            <w:pPr>
              <w:spacing w:after="0" w:line="264" w:lineRule="auto"/>
            </w:pPr>
            <w:r>
              <w:rPr>
                <w:sz w:val="17"/>
              </w:rPr>
              <w:t>24</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L1.8</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10</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L1.4</w:t>
            </w:r>
          </w:p>
        </w:tc>
        <w:tc>
          <w:tcPr>
            <w:tcW w:type="dxa" w:w="700"/>
            <w:tcMar>
              <w:top w:w="75" w:type="dxa"/>
              <w:start w:w="100" w:type="dxa"/>
              <w:bottom w:w="75" w:type="dxa"/>
              <w:end w:w="100" w:type="dxa"/>
            </w:tcMar>
            <w:vAlign w:val="center"/>
          </w:tcPr>
          <w:p>
            <w:pPr>
              <w:spacing w:after="0" w:line="264" w:lineRule="auto"/>
            </w:pPr>
            <w:r>
              <w:rPr>
                <w:sz w:val="17"/>
              </w:rPr>
              <w:t>25</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L1.9</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11</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L1.4</w:t>
            </w:r>
          </w:p>
        </w:tc>
        <w:tc>
          <w:tcPr>
            <w:tcW w:type="dxa" w:w="700"/>
            <w:tcMar>
              <w:top w:w="75" w:type="dxa"/>
              <w:start w:w="100" w:type="dxa"/>
              <w:bottom w:w="75" w:type="dxa"/>
              <w:end w:w="100" w:type="dxa"/>
            </w:tcMar>
            <w:vAlign w:val="center"/>
          </w:tcPr>
          <w:p>
            <w:pPr>
              <w:spacing w:after="0" w:line="264" w:lineRule="auto"/>
            </w:pPr>
            <w:r>
              <w:rPr>
                <w:sz w:val="17"/>
              </w:rPr>
              <w:t>26</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L1.9</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12</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L1.4</w:t>
            </w:r>
          </w:p>
        </w:tc>
        <w:tc>
          <w:tcPr>
            <w:tcW w:type="dxa" w:w="700"/>
            <w:tcMar>
              <w:top w:w="75" w:type="dxa"/>
              <w:start w:w="100" w:type="dxa"/>
              <w:bottom w:w="75" w:type="dxa"/>
              <w:end w:w="100" w:type="dxa"/>
            </w:tcMar>
            <w:vAlign w:val="center"/>
          </w:tcPr>
          <w:p>
            <w:pPr>
              <w:spacing w:after="0" w:line="264" w:lineRule="auto"/>
            </w:pPr>
            <w:r>
              <w:rPr>
                <w:sz w:val="17"/>
              </w:rPr>
              <w:t>27</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L1.9</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13</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L1.5</w:t>
            </w:r>
          </w:p>
        </w:tc>
        <w:tc>
          <w:tcPr>
            <w:tcW w:type="dxa" w:w="700"/>
            <w:tcMar>
              <w:top w:w="75" w:type="dxa"/>
              <w:start w:w="100" w:type="dxa"/>
              <w:bottom w:w="75" w:type="dxa"/>
              <w:end w:w="100" w:type="dxa"/>
            </w:tcMar>
            <w:vAlign w:val="center"/>
          </w:tcPr>
          <w:p>
            <w:pPr>
              <w:spacing w:after="0" w:line="264" w:lineRule="auto"/>
            </w:pPr>
            <w:r>
              <w:rPr>
                <w:sz w:val="17"/>
              </w:rPr>
              <w:t>28</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L1.10</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14</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L1.5</w:t>
            </w:r>
          </w:p>
        </w:tc>
        <w:tc>
          <w:tcPr>
            <w:tcW w:type="dxa" w:w="700"/>
            <w:tcMar>
              <w:top w:w="75" w:type="dxa"/>
              <w:start w:w="100" w:type="dxa"/>
              <w:bottom w:w="75" w:type="dxa"/>
              <w:end w:w="100" w:type="dxa"/>
            </w:tcMar>
            <w:vAlign w:val="center"/>
          </w:tcPr>
          <w:p>
            <w:pPr>
              <w:spacing w:after="0" w:line="264" w:lineRule="auto"/>
            </w:pPr>
            <w:r>
              <w:rPr>
                <w:sz w:val="17"/>
              </w:rPr>
              <w:t>29</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L1.10</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15</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L1.5</w:t>
            </w:r>
          </w:p>
        </w:tc>
        <w:tc>
          <w:tcPr>
            <w:tcW w:type="dxa" w:w="700"/>
            <w:tcMar>
              <w:top w:w="75" w:type="dxa"/>
              <w:start w:w="100" w:type="dxa"/>
              <w:bottom w:w="75" w:type="dxa"/>
              <w:end w:w="100" w:type="dxa"/>
            </w:tcMar>
            <w:vAlign w:val="center"/>
          </w:tcPr>
          <w:p>
            <w:pPr>
              <w:spacing w:after="0" w:line="264" w:lineRule="auto"/>
            </w:pPr>
            <w:r>
              <w:rPr>
                <w:sz w:val="17"/>
              </w:rPr>
              <w:t>30</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L1.10</w:t>
            </w:r>
          </w:p>
        </w:tc>
      </w:tr>
    </w:tbl>
    <w:p>
      <w:pPr>
        <w:keepNext/>
        <w:spacing w:before="160"/>
      </w:pPr>
      <w:r>
        <w:rPr>
          <w:b/>
        </w:rPr>
        <w:t>1. A researcher argues that a public-domain elegy creates restraint by alternating emotionally charged diction with concrete ordinary objects. They are tempted to cite only mean valence. What is the most defensible next action?</w:t>
      </w:r>
    </w:p>
    <w:p>
      <w:pPr>
        <w:keepLines/>
        <w:spacing w:after="60"/>
        <w:ind w:left="576" w:hanging="360"/>
      </w:pPr>
      <w:r>
        <w:rPr>
          <w:b/>
        </w:rPr>
        <w:t xml:space="preserve">A. </w:t>
      </w:r>
      <w:r>
        <w:t>Enable every module and report whichever score appears most dramatic.</w:t>
      </w:r>
    </w:p>
    <w:p>
      <w:pPr>
        <w:keepLines/>
        <w:spacing w:after="60"/>
        <w:ind w:left="576" w:hanging="360"/>
      </w:pPr>
      <w:r>
        <w:rPr>
          <w:b/>
        </w:rPr>
        <w:t xml:space="preserve">B. </w:t>
      </w:r>
      <w:r>
        <w:t>Treat the numerical result as the conclusion and omit the poem's language.</w:t>
      </w:r>
    </w:p>
    <w:p>
      <w:pPr>
        <w:keepLines/>
        <w:spacing w:after="60"/>
        <w:ind w:left="576" w:hanging="360"/>
      </w:pPr>
      <w:r>
        <w:rPr>
          <w:b/>
        </w:rPr>
        <w:t xml:space="preserve">C. </w:t>
      </w:r>
      <w:r>
        <w:t>Choose a metric after deciding which value would prove the thesis.</w:t>
      </w:r>
    </w:p>
    <w:p>
      <w:pPr>
        <w:keepLines/>
        <w:spacing w:after="60"/>
        <w:ind w:left="576" w:hanging="360"/>
      </w:pPr>
      <w:r>
        <w:rPr>
          <w:b/>
        </w:rPr>
        <w:t xml:space="preserve">D. </w:t>
      </w:r>
      <w:r>
        <w:t>Define the literary question first, select a limited metric set, inspect denominators, and plan passage-level confirmation and counterevidence.</w:t>
      </w:r>
    </w:p>
    <w:p>
      <w:pPr>
        <w:keepNext/>
        <w:spacing w:before="160"/>
      </w:pPr>
      <w:r>
        <w:rPr>
          <w:b/>
        </w:rPr>
        <w:t>2. Which principle is essential when applying Designing a Computational Close Reading?</w:t>
      </w:r>
    </w:p>
    <w:p>
      <w:pPr>
        <w:keepLines/>
        <w:spacing w:after="60"/>
        <w:ind w:left="576" w:hanging="360"/>
      </w:pPr>
      <w:r>
        <w:rPr>
          <w:b/>
        </w:rPr>
        <w:t xml:space="preserve">A. </w:t>
      </w:r>
      <w:r>
        <w:t>Treat the numerical result as the conclusion and omit the poem's language.</w:t>
      </w:r>
    </w:p>
    <w:p>
      <w:pPr>
        <w:keepLines/>
        <w:spacing w:after="60"/>
        <w:ind w:left="576" w:hanging="360"/>
      </w:pPr>
      <w:r>
        <w:rPr>
          <w:b/>
        </w:rPr>
        <w:t xml:space="preserve">B. </w:t>
      </w:r>
      <w:r>
        <w:t>A sufficiently large numerical value can replace source, denominator, and limitation reporting.</w:t>
      </w:r>
    </w:p>
    <w:p>
      <w:pPr>
        <w:keepLines/>
        <w:spacing w:after="60"/>
        <w:ind w:left="576" w:hanging="360"/>
      </w:pPr>
      <w:r>
        <w:rPr>
          <w:b/>
        </w:rPr>
        <w:t xml:space="preserve">C. </w:t>
      </w:r>
      <w:r>
        <w:t>A VerseVAD-assisted close reading must preserve the difference between measured lexical or formal evidence and the interpretation built from it.</w:t>
      </w:r>
    </w:p>
    <w:p>
      <w:pPr>
        <w:keepLines/>
        <w:spacing w:after="60"/>
        <w:ind w:left="576" w:hanging="360"/>
      </w:pPr>
      <w:r>
        <w:rPr>
          <w:b/>
        </w:rPr>
        <w:t xml:space="preserve">D. </w:t>
      </w:r>
      <w:r>
        <w:t>Enable every module and report whichever score appears most dramatic.</w:t>
      </w:r>
    </w:p>
    <w:p>
      <w:pPr>
        <w:keepNext/>
        <w:spacing w:before="160"/>
      </w:pPr>
      <w:r>
        <w:rPr>
          <w:b/>
        </w:rPr>
        <w:t>3. Which reporting practice best preserves the meaning of evidence in Designing a Computational Close Reading?</w:t>
      </w:r>
    </w:p>
    <w:p>
      <w:pPr>
        <w:keepLines/>
        <w:spacing w:after="60"/>
        <w:ind w:left="576" w:hanging="360"/>
      </w:pPr>
      <w:r>
        <w:rPr>
          <w:b/>
        </w:rPr>
        <w:t xml:space="preserve">A. </w:t>
      </w:r>
      <w:r>
        <w:t>Omit configuration details so readers can focus on the interpretation.</w:t>
      </w:r>
    </w:p>
    <w:p>
      <w:pPr>
        <w:keepLines/>
        <w:spacing w:after="60"/>
        <w:ind w:left="576" w:hanging="360"/>
      </w:pPr>
      <w:r>
        <w:rPr>
          <w:b/>
        </w:rPr>
        <w:t xml:space="preserve">B. </w:t>
      </w:r>
      <w:r>
        <w:t>State what the metric actually measures.</w:t>
      </w:r>
    </w:p>
    <w:p>
      <w:pPr>
        <w:keepLines/>
        <w:spacing w:after="60"/>
        <w:ind w:left="576" w:hanging="360"/>
      </w:pPr>
      <w:r>
        <w:rPr>
          <w:b/>
        </w:rPr>
        <w:t xml:space="preserve">C. </w:t>
      </w:r>
      <w:r>
        <w:t>A computationally convenient question may not be the most important literary question.</w:t>
      </w:r>
    </w:p>
    <w:p>
      <w:pPr>
        <w:keepLines/>
        <w:spacing w:after="60"/>
        <w:ind w:left="576" w:hanging="360"/>
      </w:pPr>
      <w:r>
        <w:rPr>
          <w:b/>
        </w:rPr>
        <w:t xml:space="preserve">D. </w:t>
      </w:r>
      <w:r>
        <w:t>Choose a metric after deciding which value would prove the thesis.</w:t>
      </w:r>
    </w:p>
    <w:p>
      <w:pPr>
        <w:keepNext/>
        <w:spacing w:before="160"/>
      </w:pPr>
      <w:r>
        <w:rPr>
          <w:b/>
        </w:rPr>
        <w:t>4. Two editions differ in apostrophes, indentation, and the spelling of an archaic verb. The analyst silently modernizes both before comparing sound and lexical evidence. What is the most defensible next action?</w:t>
      </w:r>
    </w:p>
    <w:p>
      <w:pPr>
        <w:keepLines/>
        <w:spacing w:after="60"/>
        <w:ind w:left="576" w:hanging="360"/>
      </w:pPr>
      <w:r>
        <w:rPr>
          <w:b/>
        </w:rPr>
        <w:t xml:space="preserve">A. </w:t>
      </w:r>
      <w:r>
        <w:t>Preserve each edition, document differences, inspect the traceable processing representation, and use matched settings for any comparison.</w:t>
      </w:r>
    </w:p>
    <w:p>
      <w:pPr>
        <w:keepLines/>
        <w:spacing w:after="60"/>
        <w:ind w:left="576" w:hanging="360"/>
      </w:pPr>
      <w:r>
        <w:rPr>
          <w:b/>
        </w:rPr>
        <w:t xml:space="preserve">B. </w:t>
      </w:r>
      <w:r>
        <w:t>Modernize spelling and punctuation until all sources produce the same tokens.</w:t>
      </w:r>
    </w:p>
    <w:p>
      <w:pPr>
        <w:keepLines/>
        <w:spacing w:after="60"/>
        <w:ind w:left="576" w:hanging="360"/>
      </w:pPr>
      <w:r>
        <w:rPr>
          <w:b/>
        </w:rPr>
        <w:t xml:space="preserve">C. </w:t>
      </w:r>
      <w:r>
        <w:t>Use token weighting for one poem and type weighting for the other.</w:t>
      </w:r>
    </w:p>
    <w:p>
      <w:pPr>
        <w:keepLines/>
        <w:spacing w:after="60"/>
        <w:ind w:left="576" w:hanging="360"/>
      </w:pPr>
      <w:r>
        <w:rPr>
          <w:b/>
        </w:rPr>
        <w:t xml:space="preserve">D. </w:t>
      </w:r>
      <w:r>
        <w:t>Convert every unmatched item to a neutral score before comparison.</w:t>
      </w:r>
    </w:p>
    <w:p>
      <w:pPr>
        <w:keepNext/>
        <w:spacing w:before="160"/>
      </w:pPr>
      <w:r>
        <w:rPr>
          <w:b/>
        </w:rPr>
        <w:t>5. Which principle is essential when applying Preprocessing as Method?</w:t>
      </w:r>
    </w:p>
    <w:p>
      <w:pPr>
        <w:keepLines/>
        <w:spacing w:after="60"/>
        <w:ind w:left="576" w:hanging="360"/>
      </w:pPr>
      <w:r>
        <w:rPr>
          <w:b/>
        </w:rPr>
        <w:t xml:space="preserve">A. </w:t>
      </w:r>
      <w:r>
        <w:t>Modernize spelling and punctuation until all sources produce the same tokens.</w:t>
      </w:r>
    </w:p>
    <w:p>
      <w:pPr>
        <w:keepLines/>
        <w:spacing w:after="60"/>
        <w:ind w:left="576" w:hanging="360"/>
      </w:pPr>
      <w:r>
        <w:rPr>
          <w:b/>
        </w:rPr>
        <w:t xml:space="preserve">B. </w:t>
      </w:r>
      <w:r>
        <w:t>Use token weighting for one poem and type weighting for the other.</w:t>
      </w:r>
    </w:p>
    <w:p>
      <w:pPr>
        <w:keepLines/>
        <w:spacing w:after="60"/>
        <w:ind w:left="576" w:hanging="360"/>
      </w:pPr>
      <w:r>
        <w:rPr>
          <w:b/>
        </w:rPr>
        <w:t xml:space="preserve">C. </w:t>
      </w:r>
      <w:r>
        <w:t>A sufficiently large numerical value can replace source, denominator, and limitation reporting.</w:t>
      </w:r>
    </w:p>
    <w:p>
      <w:pPr>
        <w:keepLines/>
        <w:spacing w:after="60"/>
        <w:ind w:left="576" w:hanging="360"/>
      </w:pPr>
      <w:r>
        <w:rPr>
          <w:b/>
        </w:rPr>
        <w:t xml:space="preserve">D. </w:t>
      </w:r>
      <w:r>
        <w:t>Never alter the source text merely to improve coverage or make two works easier to compare.</w:t>
      </w:r>
    </w:p>
    <w:p>
      <w:pPr>
        <w:keepNext/>
        <w:spacing w:before="160"/>
      </w:pPr>
      <w:r>
        <w:rPr>
          <w:b/>
        </w:rPr>
        <w:t>6. Which reporting practice best preserves the meaning of evidence in Preprocessing as Method?</w:t>
      </w:r>
    </w:p>
    <w:p>
      <w:pPr>
        <w:keepLines/>
        <w:spacing w:after="60"/>
        <w:ind w:left="576" w:hanging="360"/>
      </w:pPr>
      <w:r>
        <w:rPr>
          <w:b/>
        </w:rPr>
        <w:t xml:space="preserve">A. </w:t>
      </w:r>
      <w:r>
        <w:t>Convert every unmatched item to a neutral score before comparison.</w:t>
      </w:r>
    </w:p>
    <w:p>
      <w:pPr>
        <w:keepLines/>
        <w:spacing w:after="60"/>
        <w:ind w:left="576" w:hanging="360"/>
      </w:pPr>
      <w:r>
        <w:rPr>
          <w:b/>
        </w:rPr>
        <w:t xml:space="preserve">B. </w:t>
      </w:r>
      <w:r>
        <w:t>Omit configuration details so readers can focus on the interpretation.</w:t>
      </w:r>
    </w:p>
    <w:p>
      <w:pPr>
        <w:keepLines/>
        <w:spacing w:after="60"/>
        <w:ind w:left="576" w:hanging="360"/>
      </w:pPr>
      <w:r>
        <w:rPr>
          <w:b/>
        </w:rPr>
        <w:t xml:space="preserve">C. </w:t>
      </w:r>
      <w:r>
        <w:t>Treat changed denominators as part of the result.</w:t>
      </w:r>
    </w:p>
    <w:p>
      <w:pPr>
        <w:keepLines/>
        <w:spacing w:after="60"/>
        <w:ind w:left="576" w:hanging="360"/>
      </w:pPr>
      <w:r>
        <w:rPr>
          <w:b/>
        </w:rPr>
        <w:t xml:space="preserve">D. </w:t>
      </w:r>
      <w:r>
        <w:t>POS models can be uncertain on poetic syntax and archaic language.</w:t>
      </w:r>
    </w:p>
    <w:p>
      <w:pPr>
        <w:keepNext/>
        <w:spacing w:before="160"/>
      </w:pPr>
      <w:r>
        <w:rPr>
          <w:b/>
        </w:rPr>
        <w:t>7. A poem has moderate mean valence, high absolute valence load, broad valence dispersion, and overlapping joy and sadness associations. A reader calls the result contradictory. What is the most defensible next action?</w:t>
      </w:r>
    </w:p>
    <w:p>
      <w:pPr>
        <w:keepLines/>
        <w:spacing w:after="60"/>
        <w:ind w:left="576" w:hanging="360"/>
      </w:pPr>
      <w:r>
        <w:rPr>
          <w:b/>
        </w:rPr>
        <w:t xml:space="preserve">A. </w:t>
      </w:r>
      <w:r>
        <w:t>Describe within-poem standard deviation as confidence in the mean.</w:t>
      </w:r>
    </w:p>
    <w:p>
      <w:pPr>
        <w:keepLines/>
        <w:spacing w:after="60"/>
        <w:ind w:left="576" w:hanging="360"/>
      </w:pPr>
      <w:r>
        <w:rPr>
          <w:b/>
        </w:rPr>
        <w:t xml:space="preserve">B. </w:t>
      </w:r>
      <w:r>
        <w:t>Interpret each affective construct with its own denominator, then use local evidence to explain how central tendency, repetition, and dispersion interact.</w:t>
      </w:r>
    </w:p>
    <w:p>
      <w:pPr>
        <w:keepLines/>
        <w:spacing w:after="60"/>
        <w:ind w:left="576" w:hanging="360"/>
      </w:pPr>
      <w:r>
        <w:rPr>
          <w:b/>
        </w:rPr>
        <w:t xml:space="preserve">C. </w:t>
      </w:r>
      <w:r>
        <w:t>Average VAD, emotion association, and VADER into one master emotion score.</w:t>
      </w:r>
    </w:p>
    <w:p>
      <w:pPr>
        <w:keepLines/>
        <w:spacing w:after="60"/>
        <w:ind w:left="576" w:hanging="360"/>
      </w:pPr>
      <w:r>
        <w:rPr>
          <w:b/>
        </w:rPr>
        <w:t xml:space="preserve">D. </w:t>
      </w:r>
      <w:r>
        <w:t>Treat overlapping NRC categories as a calculation error.</w:t>
      </w:r>
    </w:p>
    <w:p>
      <w:pPr>
        <w:keepNext/>
        <w:spacing w:before="160"/>
      </w:pPr>
      <w:r>
        <w:rPr>
          <w:b/>
        </w:rPr>
        <w:t>8. Which principle is essential when applying Advanced VAD, Emotion, and Sentiment?</w:t>
      </w:r>
    </w:p>
    <w:p>
      <w:pPr>
        <w:keepLines/>
        <w:spacing w:after="60"/>
        <w:ind w:left="576" w:hanging="360"/>
      </w:pPr>
      <w:r>
        <w:rPr>
          <w:b/>
        </w:rPr>
        <w:t xml:space="preserve">A. </w:t>
      </w:r>
      <w:r>
        <w:t>Do not turn lexical association scores into claims that the poem, speaker, author, or reader actually feels a diagnosed emotion.</w:t>
      </w:r>
    </w:p>
    <w:p>
      <w:pPr>
        <w:keepLines/>
        <w:spacing w:after="60"/>
        <w:ind w:left="576" w:hanging="360"/>
      </w:pPr>
      <w:r>
        <w:rPr>
          <w:b/>
        </w:rPr>
        <w:t xml:space="preserve">B. </w:t>
      </w:r>
      <w:r>
        <w:t>Average VAD, emotion association, and VADER into one master emotion score.</w:t>
      </w:r>
    </w:p>
    <w:p>
      <w:pPr>
        <w:keepLines/>
        <w:spacing w:after="60"/>
        <w:ind w:left="576" w:hanging="360"/>
      </w:pPr>
      <w:r>
        <w:rPr>
          <w:b/>
        </w:rPr>
        <w:t xml:space="preserve">C. </w:t>
      </w:r>
      <w:r>
        <w:t>Treat overlapping NRC categories as a calculation error.</w:t>
      </w:r>
    </w:p>
    <w:p>
      <w:pPr>
        <w:keepLines/>
        <w:spacing w:after="60"/>
        <w:ind w:left="576" w:hanging="360"/>
      </w:pPr>
      <w:r>
        <w:rPr>
          <w:b/>
        </w:rPr>
        <w:t xml:space="preserve">D. </w:t>
      </w:r>
      <w:r>
        <w:t>A sufficiently large numerical value can replace source, denominator, and limitation reporting.</w:t>
      </w:r>
    </w:p>
    <w:p>
      <w:pPr>
        <w:keepNext/>
        <w:spacing w:before="160"/>
      </w:pPr>
      <w:r>
        <w:rPr>
          <w:b/>
        </w:rPr>
        <w:t>9. Which reporting practice best preserves the meaning of evidence in Advanced VAD, Emotion, and Sentiment?</w:t>
      </w:r>
    </w:p>
    <w:p>
      <w:pPr>
        <w:keepLines/>
        <w:spacing w:after="60"/>
        <w:ind w:left="576" w:hanging="360"/>
      </w:pPr>
      <w:r>
        <w:rPr>
          <w:b/>
        </w:rPr>
        <w:t xml:space="preserve">A. </w:t>
      </w:r>
      <w:r>
        <w:t>Normative word ratings do not model negation, irony, metaphor, speaker, or historical semantic change fully.</w:t>
      </w:r>
    </w:p>
    <w:p>
      <w:pPr>
        <w:keepLines/>
        <w:spacing w:after="60"/>
        <w:ind w:left="576" w:hanging="360"/>
      </w:pPr>
      <w:r>
        <w:rPr>
          <w:b/>
        </w:rPr>
        <w:t xml:space="preserve">B. </w:t>
      </w:r>
      <w:r>
        <w:t>Describe within-poem standard deviation as confidence in the mean.</w:t>
      </w:r>
    </w:p>
    <w:p>
      <w:pPr>
        <w:keepLines/>
        <w:spacing w:after="60"/>
        <w:ind w:left="576" w:hanging="360"/>
      </w:pPr>
      <w:r>
        <w:rPr>
          <w:b/>
        </w:rPr>
        <w:t xml:space="preserve">C. </w:t>
      </w:r>
      <w:r>
        <w:t>Omit configuration details so readers can focus on the interpretation.</w:t>
      </w:r>
    </w:p>
    <w:p>
      <w:pPr>
        <w:keepLines/>
        <w:spacing w:after="60"/>
        <w:ind w:left="576" w:hanging="360"/>
      </w:pPr>
      <w:r>
        <w:rPr>
          <w:b/>
        </w:rPr>
        <w:t xml:space="preserve">D. </w:t>
      </w:r>
      <w:r>
        <w:t>Name the lexicon and its scale.</w:t>
      </w:r>
    </w:p>
    <w:p>
      <w:pPr>
        <w:keepNext/>
        <w:spacing w:before="160"/>
      </w:pPr>
      <w:r>
        <w:rPr>
          <w:b/>
        </w:rPr>
        <w:t>10. A short imagist poem receives high concreteness, moderate visual strength, common vocabulary, and a high VV-PRE score. A student concludes that it is simple and lacks interpretive complexity. What is the most defensible next action?</w:t>
      </w:r>
    </w:p>
    <w:p>
      <w:pPr>
        <w:keepLines/>
        <w:spacing w:after="60"/>
        <w:ind w:left="576" w:hanging="360"/>
      </w:pPr>
      <w:r>
        <w:rPr>
          <w:b/>
        </w:rPr>
        <w:t xml:space="preserve">A. </w:t>
      </w:r>
      <w:r>
        <w:t>Interpret higher Zipf as rarer vocabulary.</w:t>
      </w:r>
    </w:p>
    <w:p>
      <w:pPr>
        <w:keepLines/>
        <w:spacing w:after="60"/>
        <w:ind w:left="576" w:hanging="360"/>
      </w:pPr>
      <w:r>
        <w:rPr>
          <w:b/>
        </w:rPr>
        <w:t xml:space="preserve">B. </w:t>
      </w:r>
      <w:r>
        <w:t>Treat AoA as the age at which the poem should be assigned in school.</w:t>
      </w:r>
    </w:p>
    <w:p>
      <w:pPr>
        <w:keepLines/>
        <w:spacing w:after="60"/>
        <w:ind w:left="576" w:hanging="360"/>
      </w:pPr>
      <w:r>
        <w:rPr>
          <w:b/>
        </w:rPr>
        <w:t xml:space="preserve">C. </w:t>
      </w:r>
      <w:r>
        <w:t>Report the distinct lexical dimensions and their coverage, then separate surface processing ease from thematic, symbolic, and historical difficulty.</w:t>
      </w:r>
    </w:p>
    <w:p>
      <w:pPr>
        <w:keepLines/>
        <w:spacing w:after="60"/>
        <w:ind w:left="576" w:hanging="360"/>
      </w:pPr>
      <w:r>
        <w:rPr>
          <w:b/>
        </w:rPr>
        <w:t xml:space="preserve">D. </w:t>
      </w:r>
      <w:r>
        <w:t>Collapse concreteness and sensorimotor strength into one imagery truth score.</w:t>
      </w:r>
    </w:p>
    <w:p>
      <w:pPr>
        <w:keepNext/>
        <w:spacing w:before="160"/>
      </w:pPr>
      <w:r>
        <w:rPr>
          <w:b/>
        </w:rPr>
        <w:t>11. Which principle is essential when applying Concreteness, Sensorimotor, Embodiment, Frequency, and AoA?</w:t>
      </w:r>
    </w:p>
    <w:p>
      <w:pPr>
        <w:keepLines/>
        <w:spacing w:after="60"/>
        <w:ind w:left="576" w:hanging="360"/>
      </w:pPr>
      <w:r>
        <w:rPr>
          <w:b/>
        </w:rPr>
        <w:t xml:space="preserve">A. </w:t>
      </w:r>
      <w:r>
        <w:t>A sufficiently large numerical value can replace source, denominator, and limitation reporting.</w:t>
      </w:r>
    </w:p>
    <w:p>
      <w:pPr>
        <w:keepLines/>
        <w:spacing w:after="60"/>
        <w:ind w:left="576" w:hanging="360"/>
      </w:pPr>
      <w:r>
        <w:rPr>
          <w:b/>
        </w:rPr>
        <w:t xml:space="preserve">B. </w:t>
      </w:r>
      <w:r>
        <w:t>A high VV-PRE or high concreteness score must never be presented as proof that a poem is aesthetically or interpretively simple.</w:t>
      </w:r>
    </w:p>
    <w:p>
      <w:pPr>
        <w:keepLines/>
        <w:spacing w:after="60"/>
        <w:ind w:left="576" w:hanging="360"/>
      </w:pPr>
      <w:r>
        <w:rPr>
          <w:b/>
        </w:rPr>
        <w:t xml:space="preserve">C. </w:t>
      </w:r>
      <w:r>
        <w:t>Collapse concreteness and sensorimotor strength into one imagery truth score.</w:t>
      </w:r>
    </w:p>
    <w:p>
      <w:pPr>
        <w:keepLines/>
        <w:spacing w:after="60"/>
        <w:ind w:left="576" w:hanging="360"/>
      </w:pPr>
      <w:r>
        <w:rPr>
          <w:b/>
        </w:rPr>
        <w:t xml:space="preserve">D. </w:t>
      </w:r>
      <w:r>
        <w:t>Interpret higher Zipf as rarer vocabulary.</w:t>
      </w:r>
    </w:p>
    <w:p>
      <w:pPr>
        <w:keepNext/>
        <w:spacing w:before="160"/>
      </w:pPr>
      <w:r>
        <w:rPr>
          <w:b/>
        </w:rPr>
        <w:t>12. Which reporting practice best preserves the meaning of evidence in Concreteness, Sensorimotor, Embodiment, Frequency, and AoA?</w:t>
      </w:r>
    </w:p>
    <w:p>
      <w:pPr>
        <w:keepLines/>
        <w:spacing w:after="60"/>
        <w:ind w:left="576" w:hanging="360"/>
      </w:pPr>
      <w:r>
        <w:rPr>
          <w:b/>
        </w:rPr>
        <w:t xml:space="preserve">A. </w:t>
      </w:r>
      <w:r>
        <w:t>Use 'matched vocabulary is normatively associated with' language.</w:t>
      </w:r>
    </w:p>
    <w:p>
      <w:pPr>
        <w:keepLines/>
        <w:spacing w:after="60"/>
        <w:ind w:left="576" w:hanging="360"/>
      </w:pPr>
      <w:r>
        <w:rPr>
          <w:b/>
        </w:rPr>
        <w:t xml:space="preserve">B. </w:t>
      </w:r>
      <w:r>
        <w:t>Norms may underrepresent archaic, dialectal, proper-name, and poetic usages.</w:t>
      </w:r>
    </w:p>
    <w:p>
      <w:pPr>
        <w:keepLines/>
        <w:spacing w:after="60"/>
        <w:ind w:left="576" w:hanging="360"/>
      </w:pPr>
      <w:r>
        <w:rPr>
          <w:b/>
        </w:rPr>
        <w:t xml:space="preserve">C. </w:t>
      </w:r>
      <w:r>
        <w:t>Treat AoA as the age at which the poem should be assigned in school.</w:t>
      </w:r>
    </w:p>
    <w:p>
      <w:pPr>
        <w:keepLines/>
        <w:spacing w:after="60"/>
        <w:ind w:left="576" w:hanging="360"/>
      </w:pPr>
      <w:r>
        <w:rPr>
          <w:b/>
        </w:rPr>
        <w:t xml:space="preserve">D. </w:t>
      </w:r>
      <w:r>
        <w:t>Omit configuration details so readers can focus on the interpretation.</w:t>
      </w:r>
    </w:p>
    <w:p>
      <w:pPr>
        <w:keepNext/>
        <w:spacing w:before="160"/>
      </w:pPr>
      <w:r>
        <w:rPr>
          <w:b/>
        </w:rPr>
        <w:t>13. A fourteen-line sonnet and a 200-line narrative poem are compared using raw TTR. The sonnet is declared more lexically diverse because its TTR is higher. What is the most defensible next action?</w:t>
      </w:r>
    </w:p>
    <w:p>
      <w:pPr>
        <w:keepLines/>
        <w:spacing w:after="60"/>
        <w:ind w:left="576" w:hanging="360"/>
      </w:pPr>
      <w:r>
        <w:rPr>
          <w:b/>
        </w:rPr>
        <w:t xml:space="preserve">A. </w:t>
      </w:r>
      <w:r>
        <w:t>Treat missing MATTR as a value of zero.</w:t>
      </w:r>
    </w:p>
    <w:p>
      <w:pPr>
        <w:keepLines/>
        <w:spacing w:after="60"/>
        <w:ind w:left="576" w:hanging="360"/>
      </w:pPr>
      <w:r>
        <w:rPr>
          <w:b/>
        </w:rPr>
        <w:t xml:space="preserve">B. </w:t>
      </w:r>
      <w:r>
        <w:t>Assume the poem with more unique spellings is necessarily more original.</w:t>
      </w:r>
    </w:p>
    <w:p>
      <w:pPr>
        <w:keepLines/>
        <w:spacing w:after="60"/>
        <w:ind w:left="576" w:hanging="360"/>
      </w:pPr>
      <w:r>
        <w:rPr>
          <w:b/>
        </w:rPr>
        <w:t xml:space="preserve">C. </w:t>
      </w:r>
      <w:r>
        <w:t>Change the MTLD threshold until the preferred poem scores higher.</w:t>
      </w:r>
    </w:p>
    <w:p>
      <w:pPr>
        <w:keepLines/>
        <w:spacing w:after="60"/>
        <w:ind w:left="576" w:hanging="360"/>
      </w:pPr>
      <w:r>
        <w:rPr>
          <w:b/>
        </w:rPr>
        <w:t xml:space="preserve">D. </w:t>
      </w:r>
      <w:r>
        <w:t>Compare length-aware diversity measures under identical token, lemma, window, and threshold settings while retaining token count and repetition evidence.</w:t>
      </w:r>
    </w:p>
    <w:p>
      <w:pPr>
        <w:keepNext/>
        <w:spacing w:before="160"/>
      </w:pPr>
      <w:r>
        <w:rPr>
          <w:b/>
        </w:rPr>
        <w:t>14. Which principle is essential when applying Lexical Diversity and Text-Length Effects?</w:t>
      </w:r>
    </w:p>
    <w:p>
      <w:pPr>
        <w:keepLines/>
        <w:spacing w:after="60"/>
        <w:ind w:left="576" w:hanging="360"/>
      </w:pPr>
      <w:r>
        <w:rPr>
          <w:b/>
        </w:rPr>
        <w:t xml:space="preserve">A. </w:t>
      </w:r>
      <w:r>
        <w:t>Assume the poem with more unique spellings is necessarily more original.</w:t>
      </w:r>
    </w:p>
    <w:p>
      <w:pPr>
        <w:keepLines/>
        <w:spacing w:after="60"/>
        <w:ind w:left="576" w:hanging="360"/>
      </w:pPr>
      <w:r>
        <w:rPr>
          <w:b/>
        </w:rPr>
        <w:t xml:space="preserve">B. </w:t>
      </w:r>
      <w:r>
        <w:t>A sufficiently large numerical value can replace source, denominator, and limitation reporting.</w:t>
      </w:r>
    </w:p>
    <w:p>
      <w:pPr>
        <w:keepLines/>
        <w:spacing w:after="60"/>
        <w:ind w:left="576" w:hanging="360"/>
      </w:pPr>
      <w:r>
        <w:rPr>
          <w:b/>
        </w:rPr>
        <w:t xml:space="preserve">C. </w:t>
      </w:r>
      <w:r>
        <w:t>Never rank differently sized poems by raw TTR without explicitly addressing the length dependency.</w:t>
      </w:r>
    </w:p>
    <w:p>
      <w:pPr>
        <w:keepLines/>
        <w:spacing w:after="60"/>
        <w:ind w:left="576" w:hanging="360"/>
      </w:pPr>
      <w:r>
        <w:rPr>
          <w:b/>
        </w:rPr>
        <w:t xml:space="preserve">D. </w:t>
      </w:r>
      <w:r>
        <w:t>Treat missing MATTR as a value of zero.</w:t>
      </w:r>
    </w:p>
    <w:p>
      <w:pPr>
        <w:keepNext/>
        <w:spacing w:before="160"/>
      </w:pPr>
      <w:r>
        <w:rPr>
          <w:b/>
        </w:rPr>
        <w:t>15. Which reporting practice best preserves the meaning of evidence in Lexical Diversity and Text-Length Effects?</w:t>
      </w:r>
    </w:p>
    <w:p>
      <w:pPr>
        <w:keepLines/>
        <w:spacing w:after="60"/>
        <w:ind w:left="576" w:hanging="360"/>
      </w:pPr>
      <w:r>
        <w:rPr>
          <w:b/>
        </w:rPr>
        <w:t xml:space="preserve">A. </w:t>
      </w:r>
      <w:r>
        <w:t>Omit configuration details so readers can focus on the interpretation.</w:t>
      </w:r>
    </w:p>
    <w:p>
      <w:pPr>
        <w:keepLines/>
        <w:spacing w:after="60"/>
        <w:ind w:left="576" w:hanging="360"/>
      </w:pPr>
      <w:r>
        <w:rPr>
          <w:b/>
        </w:rPr>
        <w:t xml:space="preserve">B. </w:t>
      </w:r>
      <w:r>
        <w:t>Report token count with every diversity claim.</w:t>
      </w:r>
    </w:p>
    <w:p>
      <w:pPr>
        <w:keepLines/>
        <w:spacing w:after="60"/>
        <w:ind w:left="576" w:hanging="360"/>
      </w:pPr>
      <w:r>
        <w:rPr>
          <w:b/>
        </w:rPr>
        <w:t xml:space="preserve">C. </w:t>
      </w:r>
      <w:r>
        <w:t>Short poems may not support stable fixed-window estimates.</w:t>
      </w:r>
    </w:p>
    <w:p>
      <w:pPr>
        <w:keepLines/>
        <w:spacing w:after="60"/>
        <w:ind w:left="576" w:hanging="360"/>
      </w:pPr>
      <w:r>
        <w:rPr>
          <w:b/>
        </w:rPr>
        <w:t xml:space="preserve">D. </w:t>
      </w:r>
      <w:r>
        <w:t>Change the MTLD threshold until the preferred poem scores higher.</w:t>
      </w:r>
    </w:p>
    <w:p>
      <w:pPr>
        <w:keepNext/>
        <w:spacing w:before="160"/>
      </w:pPr>
      <w:r>
        <w:rPr>
          <w:b/>
        </w:rPr>
        <w:t>16. A poem appears to fit iambic pentameter poorly, but several archaic contractions and proper names are unresolved. The analyst reports metrical irregularity without reviewing them. What is the most defensible next action?</w:t>
      </w:r>
    </w:p>
    <w:p>
      <w:pPr>
        <w:keepLines/>
        <w:spacing w:after="60"/>
        <w:ind w:left="576" w:hanging="360"/>
      </w:pPr>
      <w:r>
        <w:rPr>
          <w:b/>
        </w:rPr>
        <w:t xml:space="preserve">A. </w:t>
      </w:r>
      <w:r>
        <w:t>Review unresolved and alternate pronunciations, reanalyze dependent modules, and frame meter or regularity as conditional candidate evidence.</w:t>
      </w:r>
    </w:p>
    <w:p>
      <w:pPr>
        <w:keepLines/>
        <w:spacing w:after="60"/>
        <w:ind w:left="576" w:hanging="360"/>
      </w:pPr>
      <w:r>
        <w:rPr>
          <w:b/>
        </w:rPr>
        <w:t xml:space="preserve">B. </w:t>
      </w:r>
      <w:r>
        <w:t>Accept every G2P prediction automatically because it is machine generated.</w:t>
      </w:r>
    </w:p>
    <w:p>
      <w:pPr>
        <w:keepLines/>
        <w:spacing w:after="60"/>
        <w:ind w:left="576" w:hanging="360"/>
      </w:pPr>
      <w:r>
        <w:rPr>
          <w:b/>
        </w:rPr>
        <w:t xml:space="preserve">C. </w:t>
      </w:r>
      <w:r>
        <w:t>Treat the highest-scoring meter as the poem's definitive performed rhythm.</w:t>
      </w:r>
    </w:p>
    <w:p>
      <w:pPr>
        <w:keepLines/>
        <w:spacing w:after="60"/>
        <w:ind w:left="576" w:hanging="360"/>
      </w:pPr>
      <w:r>
        <w:rPr>
          <w:b/>
        </w:rPr>
        <w:t xml:space="preserve">D. </w:t>
      </w:r>
      <w:r>
        <w:t>Edit the source spelling until CMUdict matches every word.</w:t>
      </w:r>
    </w:p>
    <w:p>
      <w:pPr>
        <w:keepNext/>
        <w:spacing w:before="160"/>
      </w:pPr>
      <w:r>
        <w:rPr>
          <w:b/>
        </w:rPr>
        <w:t>17. Which principle is essential when applying Pronunciation, Syllables, Meter, and Rhythmic Regularity?</w:t>
      </w:r>
    </w:p>
    <w:p>
      <w:pPr>
        <w:keepLines/>
        <w:spacing w:after="60"/>
        <w:ind w:left="576" w:hanging="360"/>
      </w:pPr>
      <w:r>
        <w:rPr>
          <w:b/>
        </w:rPr>
        <w:t xml:space="preserve">A. </w:t>
      </w:r>
      <w:r>
        <w:t>Accept every G2P prediction automatically because it is machine generated.</w:t>
      </w:r>
    </w:p>
    <w:p>
      <w:pPr>
        <w:keepLines/>
        <w:spacing w:after="60"/>
        <w:ind w:left="576" w:hanging="360"/>
      </w:pPr>
      <w:r>
        <w:rPr>
          <w:b/>
        </w:rPr>
        <w:t xml:space="preserve">B. </w:t>
      </w:r>
      <w:r>
        <w:t>Treat the highest-scoring meter as the poem's definitive performed rhythm.</w:t>
      </w:r>
    </w:p>
    <w:p>
      <w:pPr>
        <w:keepLines/>
        <w:spacing w:after="60"/>
        <w:ind w:left="576" w:hanging="360"/>
      </w:pPr>
      <w:r>
        <w:rPr>
          <w:b/>
        </w:rPr>
        <w:t xml:space="preserve">C. </w:t>
      </w:r>
      <w:r>
        <w:t>A sufficiently large numerical value can replace source, denominator, and limitation reporting.</w:t>
      </w:r>
    </w:p>
    <w:p>
      <w:pPr>
        <w:keepLines/>
        <w:spacing w:after="60"/>
        <w:ind w:left="576" w:hanging="360"/>
      </w:pPr>
      <w:r>
        <w:rPr>
          <w:b/>
        </w:rPr>
        <w:t xml:space="preserve">D. </w:t>
      </w:r>
      <w:r>
        <w:t>Do not make a strong meter, rhyme, syllable, or inherited-form claim when pronunciation coverage is materially unresolved.</w:t>
      </w:r>
    </w:p>
    <w:p>
      <w:pPr>
        <w:keepNext/>
        <w:spacing w:before="160"/>
      </w:pPr>
      <w:r>
        <w:rPr>
          <w:b/>
        </w:rPr>
        <w:t>18. Which reporting practice best preserves the meaning of evidence in Pronunciation, Syllables, Meter, and Rhythmic Regularity?</w:t>
      </w:r>
    </w:p>
    <w:p>
      <w:pPr>
        <w:keepLines/>
        <w:spacing w:after="60"/>
        <w:ind w:left="576" w:hanging="360"/>
      </w:pPr>
      <w:r>
        <w:rPr>
          <w:b/>
        </w:rPr>
        <w:t xml:space="preserve">A. </w:t>
      </w:r>
      <w:r>
        <w:t>Edit the source spelling until CMUdict matches every word.</w:t>
      </w:r>
    </w:p>
    <w:p>
      <w:pPr>
        <w:keepLines/>
        <w:spacing w:after="60"/>
        <w:ind w:left="576" w:hanging="360"/>
      </w:pPr>
      <w:r>
        <w:rPr>
          <w:b/>
        </w:rPr>
        <w:t xml:space="preserve">B. </w:t>
      </w:r>
      <w:r>
        <w:t>Omit configuration details so readers can focus on the interpretation.</w:t>
      </w:r>
    </w:p>
    <w:p>
      <w:pPr>
        <w:keepLines/>
        <w:spacing w:after="60"/>
        <w:ind w:left="576" w:hanging="360"/>
      </w:pPr>
      <w:r>
        <w:rPr>
          <w:b/>
        </w:rPr>
        <w:t xml:space="preserve">C. </w:t>
      </w:r>
      <w:r>
        <w:t>Report pronunciation coverage with sound claims.</w:t>
      </w:r>
    </w:p>
    <w:p>
      <w:pPr>
        <w:keepLines/>
        <w:spacing w:after="60"/>
        <w:ind w:left="576" w:hanging="360"/>
      </w:pPr>
      <w:r>
        <w:rPr>
          <w:b/>
        </w:rPr>
        <w:t xml:space="preserve">D. </w:t>
      </w:r>
      <w:r>
        <w:t>CMUdict is not a poem-specific performance dictionary.</w:t>
      </w:r>
    </w:p>
    <w:p>
      <w:pPr>
        <w:keepNext/>
        <w:spacing w:before="160"/>
      </w:pPr>
      <w:r>
        <w:rPr>
          <w:b/>
        </w:rPr>
        <w:t>19. A fourteen-line poem receives a high sonnet-family match but low meter coverage and a rhyme scheme with several slant links. The analyst calls it an Elizabethan sonnet without qualification. What is the most defensible next action?</w:t>
      </w:r>
    </w:p>
    <w:p>
      <w:pPr>
        <w:keepLines/>
        <w:spacing w:after="60"/>
        <w:ind w:left="576" w:hanging="360"/>
      </w:pPr>
      <w:r>
        <w:rPr>
          <w:b/>
        </w:rPr>
        <w:t xml:space="preserve">A. </w:t>
      </w:r>
      <w:r>
        <w:t>Ignore slant grading and label every linked pair a perfect rhyme.</w:t>
      </w:r>
    </w:p>
    <w:p>
      <w:pPr>
        <w:keepLines/>
        <w:spacing w:after="60"/>
        <w:ind w:left="576" w:hanging="360"/>
      </w:pPr>
      <w:r>
        <w:rPr>
          <w:b/>
        </w:rPr>
        <w:t xml:space="preserve">B. </w:t>
      </w:r>
      <w:r>
        <w:t>Audit pronunciation and pair evidence, read match beside coverage, and describe the form as a weighted candidate with explicit agreements and departures.</w:t>
      </w:r>
    </w:p>
    <w:p>
      <w:pPr>
        <w:keepLines/>
        <w:spacing w:after="60"/>
        <w:ind w:left="576" w:hanging="360"/>
      </w:pPr>
      <w:r>
        <w:rPr>
          <w:b/>
        </w:rPr>
        <w:t xml:space="preserve">C. </w:t>
      </w:r>
      <w:r>
        <w:t>Assume CMUdict directly identifies every rhyme and poetic form.</w:t>
      </w:r>
    </w:p>
    <w:p>
      <w:pPr>
        <w:keepLines/>
        <w:spacing w:after="60"/>
        <w:ind w:left="576" w:hanging="360"/>
      </w:pPr>
      <w:r>
        <w:rPr>
          <w:b/>
        </w:rPr>
        <w:t xml:space="preserve">D. </w:t>
      </w:r>
      <w:r>
        <w:t>Treat match percentage and evidence coverage as interchangeable.</w:t>
      </w:r>
    </w:p>
    <w:p>
      <w:pPr>
        <w:keepNext/>
        <w:spacing w:before="160"/>
      </w:pPr>
      <w:r>
        <w:rPr>
          <w:b/>
        </w:rPr>
        <w:t>20. Which principle is essential when applying Rhyme, Phonological Patterning, and Inherited Form?</w:t>
      </w:r>
    </w:p>
    <w:p>
      <w:pPr>
        <w:keepLines/>
        <w:spacing w:after="60"/>
        <w:ind w:left="576" w:hanging="360"/>
      </w:pPr>
      <w:r>
        <w:rPr>
          <w:b/>
        </w:rPr>
        <w:t xml:space="preserve">A. </w:t>
      </w:r>
      <w:r>
        <w:t>A high inherited-form match is not a declaration of genre when essential defining evidence is absent or unresolved.</w:t>
      </w:r>
    </w:p>
    <w:p>
      <w:pPr>
        <w:keepLines/>
        <w:spacing w:after="60"/>
        <w:ind w:left="576" w:hanging="360"/>
      </w:pPr>
      <w:r>
        <w:rPr>
          <w:b/>
        </w:rPr>
        <w:t xml:space="preserve">B. </w:t>
      </w:r>
      <w:r>
        <w:t>Assume CMUdict directly identifies every rhyme and poetic form.</w:t>
      </w:r>
    </w:p>
    <w:p>
      <w:pPr>
        <w:keepLines/>
        <w:spacing w:after="60"/>
        <w:ind w:left="576" w:hanging="360"/>
      </w:pPr>
      <w:r>
        <w:rPr>
          <w:b/>
        </w:rPr>
        <w:t xml:space="preserve">C. </w:t>
      </w:r>
      <w:r>
        <w:t>Treat match percentage and evidence coverage as interchangeable.</w:t>
      </w:r>
    </w:p>
    <w:p>
      <w:pPr>
        <w:keepLines/>
        <w:spacing w:after="60"/>
        <w:ind w:left="576" w:hanging="360"/>
      </w:pPr>
      <w:r>
        <w:rPr>
          <w:b/>
        </w:rPr>
        <w:t xml:space="preserve">D. </w:t>
      </w:r>
      <w:r>
        <w:t>A sufficiently large numerical value can replace source, denominator, and limitation reporting.</w:t>
      </w:r>
    </w:p>
    <w:p>
      <w:pPr>
        <w:keepNext/>
        <w:spacing w:before="160"/>
      </w:pPr>
      <w:r>
        <w:rPr>
          <w:b/>
        </w:rPr>
        <w:t>21. Which reporting practice best preserves the meaning of evidence in Rhyme, Phonological Patterning, and Inherited Form?</w:t>
      </w:r>
    </w:p>
    <w:p>
      <w:pPr>
        <w:keepLines/>
        <w:spacing w:after="60"/>
        <w:ind w:left="576" w:hanging="360"/>
      </w:pPr>
      <w:r>
        <w:rPr>
          <w:b/>
        </w:rPr>
        <w:t xml:space="preserve">A. </w:t>
      </w:r>
      <w:r>
        <w:t>Historical and dialect pronunciations may differ from the pinned dictionary.</w:t>
      </w:r>
    </w:p>
    <w:p>
      <w:pPr>
        <w:keepLines/>
        <w:spacing w:after="60"/>
        <w:ind w:left="576" w:hanging="360"/>
      </w:pPr>
      <w:r>
        <w:rPr>
          <w:b/>
        </w:rPr>
        <w:t xml:space="preserve">B. </w:t>
      </w:r>
      <w:r>
        <w:t>Ignore slant grading and label every linked pair a perfect rhyme.</w:t>
      </w:r>
    </w:p>
    <w:p>
      <w:pPr>
        <w:keepLines/>
        <w:spacing w:after="60"/>
        <w:ind w:left="576" w:hanging="360"/>
      </w:pPr>
      <w:r>
        <w:rPr>
          <w:b/>
        </w:rPr>
        <w:t xml:space="preserve">C. </w:t>
      </w:r>
      <w:r>
        <w:t>Omit configuration details so readers can focus on the interpretation.</w:t>
      </w:r>
    </w:p>
    <w:p>
      <w:pPr>
        <w:keepLines/>
        <w:spacing w:after="60"/>
        <w:ind w:left="576" w:hanging="360"/>
      </w:pPr>
      <w:r>
        <w:rPr>
          <w:b/>
        </w:rPr>
        <w:t xml:space="preserve">D. </w:t>
      </w:r>
      <w:r>
        <w:t>Name the rhyme relationship rather than only its group label.</w:t>
      </w:r>
    </w:p>
    <w:p>
      <w:pPr>
        <w:keepNext/>
        <w:spacing w:before="160"/>
      </w:pPr>
      <w:r>
        <w:rPr>
          <w:b/>
        </w:rPr>
        <w:t>22. Poem A has a lower valence mean than Poem B, but Poem A has 92 percent coverage and Poem B has 41 percent coverage with many archaic unmatched forms. What is the most defensible next action?</w:t>
      </w:r>
    </w:p>
    <w:p>
      <w:pPr>
        <w:keepLines/>
        <w:spacing w:after="60"/>
        <w:ind w:left="576" w:hanging="360"/>
      </w:pPr>
      <w:r>
        <w:rPr>
          <w:b/>
        </w:rPr>
        <w:t xml:space="preserve">A. </w:t>
      </w:r>
      <w:r>
        <w:t>Treat the observed range as a statistically significant effect.</w:t>
      </w:r>
    </w:p>
    <w:p>
      <w:pPr>
        <w:keepLines/>
        <w:spacing w:after="60"/>
        <w:ind w:left="576" w:hanging="360"/>
      </w:pPr>
      <w:r>
        <w:rPr>
          <w:b/>
        </w:rPr>
        <w:t xml:space="preserve">B. </w:t>
      </w:r>
      <w:r>
        <w:t>Pool all tokens and describe the result as the average poem.</w:t>
      </w:r>
    </w:p>
    <w:p>
      <w:pPr>
        <w:keepLines/>
        <w:spacing w:after="60"/>
        <w:ind w:left="576" w:hanging="360"/>
      </w:pPr>
      <w:r>
        <w:rPr>
          <w:b/>
        </w:rPr>
        <w:t xml:space="preserve">C. </w:t>
      </w:r>
      <w:r>
        <w:t>Keep one shared configuration, qualify the contrast by poem-specific coverage, and use side-by-side evidence plus close reading rather than a significance claim.</w:t>
      </w:r>
    </w:p>
    <w:p>
      <w:pPr>
        <w:keepLines/>
        <w:spacing w:after="60"/>
        <w:ind w:left="576" w:hanging="360"/>
      </w:pPr>
      <w:r>
        <w:rPr>
          <w:b/>
        </w:rPr>
        <w:t xml:space="preserve">D. </w:t>
      </w:r>
      <w:r>
        <w:t>Adjust each poem's settings until coverage percentages match.</w:t>
      </w:r>
    </w:p>
    <w:p>
      <w:pPr>
        <w:keepNext/>
        <w:spacing w:before="160"/>
      </w:pPr>
      <w:r>
        <w:rPr>
          <w:b/>
        </w:rPr>
        <w:t>23. Which principle is essential when applying Poem-to-Poem Comparison?</w:t>
      </w:r>
    </w:p>
    <w:p>
      <w:pPr>
        <w:keepLines/>
        <w:spacing w:after="60"/>
        <w:ind w:left="576" w:hanging="360"/>
      </w:pPr>
      <w:r>
        <w:rPr>
          <w:b/>
        </w:rPr>
        <w:t xml:space="preserve">A. </w:t>
      </w:r>
      <w:r>
        <w:t>A sufficiently large numerical value can replace source, denominator, and limitation reporting.</w:t>
      </w:r>
    </w:p>
    <w:p>
      <w:pPr>
        <w:keepLines/>
        <w:spacing w:after="60"/>
        <w:ind w:left="576" w:hanging="360"/>
      </w:pPr>
      <w:r>
        <w:rPr>
          <w:b/>
        </w:rPr>
        <w:t xml:space="preserve">B. </w:t>
      </w:r>
      <w:r>
        <w:t>Never compare values produced under different weighting, stopword, source, or threshold settings as though they were directly equivalent.</w:t>
      </w:r>
    </w:p>
    <w:p>
      <w:pPr>
        <w:keepLines/>
        <w:spacing w:after="60"/>
        <w:ind w:left="576" w:hanging="360"/>
      </w:pPr>
      <w:r>
        <w:rPr>
          <w:b/>
        </w:rPr>
        <w:t xml:space="preserve">C. </w:t>
      </w:r>
      <w:r>
        <w:t>Adjust each poem's settings until coverage percentages match.</w:t>
      </w:r>
    </w:p>
    <w:p>
      <w:pPr>
        <w:keepLines/>
        <w:spacing w:after="60"/>
        <w:ind w:left="576" w:hanging="360"/>
      </w:pPr>
      <w:r>
        <w:rPr>
          <w:b/>
        </w:rPr>
        <w:t xml:space="preserve">D. </w:t>
      </w:r>
      <w:r>
        <w:t>Treat the observed range as a statistically significant effect.</w:t>
      </w:r>
    </w:p>
    <w:p>
      <w:pPr>
        <w:keepNext/>
        <w:spacing w:before="160"/>
      </w:pPr>
      <w:r>
        <w:rPr>
          <w:b/>
        </w:rPr>
        <w:t>24. Which reporting practice best preserves the meaning of evidence in Poem-to-Poem Comparison?</w:t>
      </w:r>
    </w:p>
    <w:p>
      <w:pPr>
        <w:keepLines/>
        <w:spacing w:after="60"/>
        <w:ind w:left="576" w:hanging="360"/>
      </w:pPr>
      <w:r>
        <w:rPr>
          <w:b/>
        </w:rPr>
        <w:t xml:space="preserve">A. </w:t>
      </w:r>
      <w:r>
        <w:t>Name shared settings once and poem-specific coverage separately.</w:t>
      </w:r>
    </w:p>
    <w:p>
      <w:pPr>
        <w:keepLines/>
        <w:spacing w:after="60"/>
        <w:ind w:left="576" w:hanging="360"/>
      </w:pPr>
      <w:r>
        <w:rPr>
          <w:b/>
        </w:rPr>
        <w:t xml:space="preserve">B. </w:t>
      </w:r>
      <w:r>
        <w:t>Small comparison sets do not support population inference.</w:t>
      </w:r>
    </w:p>
    <w:p>
      <w:pPr>
        <w:keepLines/>
        <w:spacing w:after="60"/>
        <w:ind w:left="576" w:hanging="360"/>
      </w:pPr>
      <w:r>
        <w:rPr>
          <w:b/>
        </w:rPr>
        <w:t xml:space="preserve">C. </w:t>
      </w:r>
      <w:r>
        <w:t>Pool all tokens and describe the result as the average poem.</w:t>
      </w:r>
    </w:p>
    <w:p>
      <w:pPr>
        <w:keepLines/>
        <w:spacing w:after="60"/>
        <w:ind w:left="576" w:hanging="360"/>
      </w:pPr>
      <w:r>
        <w:rPr>
          <w:b/>
        </w:rPr>
        <w:t xml:space="preserve">D. </w:t>
      </w:r>
      <w:r>
        <w:t>Omit configuration details so readers can focus on the interpretation.</w:t>
      </w:r>
    </w:p>
    <w:p>
      <w:pPr>
        <w:keepNext/>
        <w:spacing w:before="160"/>
      </w:pPr>
      <w:r>
        <w:rPr>
          <w:b/>
        </w:rPr>
        <w:t>25. The plotted point looks closest to Poet X, but the table names a poem by Poet Y as the nearest reference neighbor. A learner assumes the software is inconsistent. What is the most defensible next action?</w:t>
      </w:r>
    </w:p>
    <w:p>
      <w:pPr>
        <w:keepLines/>
        <w:spacing w:after="60"/>
        <w:ind w:left="576" w:hanging="360"/>
      </w:pPr>
      <w:r>
        <w:rPr>
          <w:b/>
        </w:rPr>
        <w:t xml:space="preserve">A. </w:t>
      </w:r>
      <w:r>
        <w:t>Rename Component 1 as valence and Component 2 as line length without inspecting loadings.</w:t>
      </w:r>
    </w:p>
    <w:p>
      <w:pPr>
        <w:keepLines/>
        <w:spacing w:after="60"/>
        <w:ind w:left="576" w:hanging="360"/>
      </w:pPr>
      <w:r>
        <w:rPr>
          <w:b/>
        </w:rPr>
        <w:t xml:space="preserve">B. </w:t>
      </w:r>
      <w:r>
        <w:t>Select the closest point by eye and ignore the reported full-space neighbor.</w:t>
      </w:r>
    </w:p>
    <w:p>
      <w:pPr>
        <w:keepLines/>
        <w:spacing w:after="60"/>
        <w:ind w:left="576" w:hanging="360"/>
      </w:pPr>
      <w:r>
        <w:rPr>
          <w:b/>
        </w:rPr>
        <w:t xml:space="preserve">C. </w:t>
      </w:r>
      <w:r>
        <w:t>Change the target's profile settings while leaving reference profiles fixed.</w:t>
      </w:r>
    </w:p>
    <w:p>
      <w:pPr>
        <w:keepLines/>
        <w:spacing w:after="60"/>
        <w:ind w:left="576" w:hanging="360"/>
      </w:pPr>
      <w:r>
        <w:rPr>
          <w:b/>
        </w:rPr>
        <w:t xml:space="preserve">D. </w:t>
      </w:r>
      <w:r>
        <w:t>Explain that the plot is a two-axis projection while neighbor ranking uses fuller standardized evidence, then investigate the unexpected comparison through close reading.</w:t>
      </w:r>
    </w:p>
    <w:p>
      <w:pPr>
        <w:keepNext/>
        <w:spacing w:before="160"/>
      </w:pPr>
      <w:r>
        <w:rPr>
          <w:b/>
        </w:rPr>
        <w:t>26. Which principle is essential when applying VerseMap for Close Reading?</w:t>
      </w:r>
    </w:p>
    <w:p>
      <w:pPr>
        <w:keepLines/>
        <w:spacing w:after="60"/>
        <w:ind w:left="576" w:hanging="360"/>
      </w:pPr>
      <w:r>
        <w:rPr>
          <w:b/>
        </w:rPr>
        <w:t xml:space="preserve">A. </w:t>
      </w:r>
      <w:r>
        <w:t>Select the closest point by eye and ignore the reported full-space neighbor.</w:t>
      </w:r>
    </w:p>
    <w:p>
      <w:pPr>
        <w:keepLines/>
        <w:spacing w:after="60"/>
        <w:ind w:left="576" w:hanging="360"/>
      </w:pPr>
      <w:r>
        <w:rPr>
          <w:b/>
        </w:rPr>
        <w:t xml:space="preserve">B. </w:t>
      </w:r>
      <w:r>
        <w:t>A sufficiently large numerical value can replace source, denominator, and limitation reporting.</w:t>
      </w:r>
    </w:p>
    <w:p>
      <w:pPr>
        <w:keepLines/>
        <w:spacing w:after="60"/>
        <w:ind w:left="576" w:hanging="360"/>
      </w:pPr>
      <w:r>
        <w:rPr>
          <w:b/>
        </w:rPr>
        <w:t xml:space="preserve">C. </w:t>
      </w:r>
      <w:r>
        <w:t>VerseMap similarity is conditional exploratory evidence and must not be presented as proof of influence, authorship, genre, or value.</w:t>
      </w:r>
    </w:p>
    <w:p>
      <w:pPr>
        <w:keepLines/>
        <w:spacing w:after="60"/>
        <w:ind w:left="576" w:hanging="360"/>
      </w:pPr>
      <w:r>
        <w:rPr>
          <w:b/>
        </w:rPr>
        <w:t xml:space="preserve">D. </w:t>
      </w:r>
      <w:r>
        <w:t>Rename Component 1 as valence and Component 2 as line length without inspecting loadings.</w:t>
      </w:r>
    </w:p>
    <w:p>
      <w:pPr>
        <w:keepNext/>
        <w:spacing w:before="160"/>
      </w:pPr>
      <w:r>
        <w:rPr>
          <w:b/>
        </w:rPr>
        <w:t>27. Which reporting practice best preserves the meaning of evidence in VerseMap for Close Reading?</w:t>
      </w:r>
    </w:p>
    <w:p>
      <w:pPr>
        <w:keepLines/>
        <w:spacing w:after="60"/>
        <w:ind w:left="576" w:hanging="360"/>
      </w:pPr>
      <w:r>
        <w:rPr>
          <w:b/>
        </w:rPr>
        <w:t xml:space="preserve">A. </w:t>
      </w:r>
      <w:r>
        <w:t>Omit configuration details so readers can focus on the interpretation.</w:t>
      </w:r>
    </w:p>
    <w:p>
      <w:pPr>
        <w:keepLines/>
        <w:spacing w:after="60"/>
        <w:ind w:left="576" w:hanging="360"/>
      </w:pPr>
      <w:r>
        <w:rPr>
          <w:b/>
        </w:rPr>
        <w:t xml:space="preserve">B. </w:t>
      </w:r>
      <w:r>
        <w:t>Treat axes as composite coordinates.</w:t>
      </w:r>
    </w:p>
    <w:p>
      <w:pPr>
        <w:keepLines/>
        <w:spacing w:after="60"/>
        <w:ind w:left="576" w:hanging="360"/>
      </w:pPr>
      <w:r>
        <w:rPr>
          <w:b/>
        </w:rPr>
        <w:t xml:space="preserve">C. </w:t>
      </w:r>
      <w:r>
        <w:t>PCA suppresses dimensions not visible in two axes.</w:t>
      </w:r>
    </w:p>
    <w:p>
      <w:pPr>
        <w:keepLines/>
        <w:spacing w:after="60"/>
        <w:ind w:left="576" w:hanging="360"/>
      </w:pPr>
      <w:r>
        <w:rPr>
          <w:b/>
        </w:rPr>
        <w:t xml:space="preserve">D. </w:t>
      </w:r>
      <w:r>
        <w:t>Change the target's profile settings while leaving reference profiles fixed.</w:t>
      </w:r>
    </w:p>
    <w:p>
      <w:pPr>
        <w:keepNext/>
        <w:spacing w:before="160"/>
      </w:pPr>
      <w:r>
        <w:rPr>
          <w:b/>
        </w:rPr>
        <w:t>28. A draft lists twelve metrics, contains no quotations or line references, omits coverage, and ends by saying the algorithm proves the speaker is powerless. What is the most defensible next action?</w:t>
      </w:r>
    </w:p>
    <w:p>
      <w:pPr>
        <w:keepLines/>
        <w:spacing w:after="60"/>
        <w:ind w:left="576" w:hanging="360"/>
      </w:pPr>
      <w:r>
        <w:rPr>
          <w:b/>
        </w:rPr>
        <w:t xml:space="preserve">A. </w:t>
      </w:r>
      <w:r>
        <w:t>Rebuild the analysis around a literary claim, a small justified metric set, passage-level evidence, reproducible methods, counterevidence, and consequential limitations.</w:t>
      </w:r>
    </w:p>
    <w:p>
      <w:pPr>
        <w:keepLines/>
        <w:spacing w:after="60"/>
        <w:ind w:left="576" w:hanging="360"/>
      </w:pPr>
      <w:r>
        <w:rPr>
          <w:b/>
        </w:rPr>
        <w:t xml:space="preserve">B. </w:t>
      </w:r>
      <w:r>
        <w:t>Include every available score to demonstrate comprehensiveness.</w:t>
      </w:r>
    </w:p>
    <w:p>
      <w:pPr>
        <w:keepLines/>
        <w:spacing w:after="60"/>
        <w:ind w:left="576" w:hanging="360"/>
      </w:pPr>
      <w:r>
        <w:rPr>
          <w:b/>
        </w:rPr>
        <w:t xml:space="preserve">C. </w:t>
      </w:r>
      <w:r>
        <w:t>Omit settings because the software version guarantees identical results.</w:t>
      </w:r>
    </w:p>
    <w:p>
      <w:pPr>
        <w:keepLines/>
        <w:spacing w:after="60"/>
        <w:ind w:left="576" w:hanging="360"/>
      </w:pPr>
      <w:r>
        <w:rPr>
          <w:b/>
        </w:rPr>
        <w:t xml:space="preserve">D. </w:t>
      </w:r>
      <w:r>
        <w:t>Treat a reproducible result as the only defensible interpretation.</w:t>
      </w:r>
    </w:p>
    <w:p>
      <w:pPr>
        <w:keepNext/>
        <w:spacing w:before="160"/>
      </w:pPr>
      <w:r>
        <w:rPr>
          <w:b/>
        </w:rPr>
        <w:t>29. Which principle is essential when applying Writing VerseVAD-Assisted Analysis?</w:t>
      </w:r>
    </w:p>
    <w:p>
      <w:pPr>
        <w:keepLines/>
        <w:spacing w:after="60"/>
        <w:ind w:left="576" w:hanging="360"/>
      </w:pPr>
      <w:r>
        <w:rPr>
          <w:b/>
        </w:rPr>
        <w:t xml:space="preserve">A. </w:t>
      </w:r>
      <w:r>
        <w:t>Include every available score to demonstrate comprehensiveness.</w:t>
      </w:r>
    </w:p>
    <w:p>
      <w:pPr>
        <w:keepLines/>
        <w:spacing w:after="60"/>
        <w:ind w:left="576" w:hanging="360"/>
      </w:pPr>
      <w:r>
        <w:rPr>
          <w:b/>
        </w:rPr>
        <w:t xml:space="preserve">B. </w:t>
      </w:r>
      <w:r>
        <w:t>Omit settings because the software version guarantees identical results.</w:t>
      </w:r>
    </w:p>
    <w:p>
      <w:pPr>
        <w:keepLines/>
        <w:spacing w:after="60"/>
        <w:ind w:left="576" w:hanging="360"/>
      </w:pPr>
      <w:r>
        <w:rPr>
          <w:b/>
        </w:rPr>
        <w:t xml:space="preserve">C. </w:t>
      </w:r>
      <w:r>
        <w:t>A sufficiently large numerical value can replace source, denominator, and limitation reporting.</w:t>
      </w:r>
    </w:p>
    <w:p>
      <w:pPr>
        <w:keepLines/>
        <w:spacing w:after="60"/>
        <w:ind w:left="576" w:hanging="360"/>
      </w:pPr>
      <w:r>
        <w:rPr>
          <w:b/>
        </w:rPr>
        <w:t xml:space="preserve">D. </w:t>
      </w:r>
      <w:r>
        <w:t>Every reported number must remain traceable to a method and must serve—not replace—the close reading.</w:t>
      </w:r>
    </w:p>
    <w:p>
      <w:pPr>
        <w:keepNext/>
        <w:spacing w:before="160"/>
      </w:pPr>
      <w:r>
        <w:rPr>
          <w:b/>
        </w:rPr>
        <w:t>30. Which reporting practice best preserves the meaning of evidence in Writing VerseVAD-Assisted Analysis?</w:t>
      </w:r>
    </w:p>
    <w:p>
      <w:pPr>
        <w:keepLines/>
        <w:spacing w:after="60"/>
        <w:ind w:left="576" w:hanging="360"/>
      </w:pPr>
      <w:r>
        <w:rPr>
          <w:b/>
        </w:rPr>
        <w:t xml:space="preserve">A. </w:t>
      </w:r>
      <w:r>
        <w:t>Treat a reproducible result as the only defensible interpretation.</w:t>
      </w:r>
    </w:p>
    <w:p>
      <w:pPr>
        <w:keepLines/>
        <w:spacing w:after="60"/>
        <w:ind w:left="576" w:hanging="360"/>
      </w:pPr>
      <w:r>
        <w:rPr>
          <w:b/>
        </w:rPr>
        <w:t xml:space="preserve">B. </w:t>
      </w:r>
      <w:r>
        <w:t>Omit configuration details so readers can focus on the interpretation.</w:t>
      </w:r>
    </w:p>
    <w:p>
      <w:pPr>
        <w:keepLines/>
        <w:spacing w:after="60"/>
        <w:ind w:left="576" w:hanging="360"/>
      </w:pPr>
      <w:r>
        <w:rPr>
          <w:b/>
        </w:rPr>
        <w:t xml:space="preserve">C. </w:t>
      </w:r>
      <w:r>
        <w:t>Put the poem before the dashboard.</w:t>
      </w:r>
    </w:p>
    <w:p>
      <w:pPr>
        <w:keepLines/>
        <w:spacing w:after="60"/>
        <w:ind w:left="576" w:hanging="360"/>
      </w:pPr>
      <w:r>
        <w:rPr>
          <w:b/>
        </w:rPr>
        <w:t xml:space="preserve">D. </w:t>
      </w:r>
      <w:r>
        <w:t>A limitations paragraph is not a ritual disclaimer; it must alter the strength or scope of the claim.</w:t>
      </w:r>
    </w:p>
    <w:p>
      <w:pPr>
        <w:pStyle w:val="Heading1"/>
      </w:pPr>
      <w:r>
        <w:t>Applied Assessment Bridge</w:t>
      </w:r>
    </w:p>
    <w:p>
      <w:r>
        <w:t>The separate **VerseVAD-Assisted Computational Close Reading** converts course knowledge into observable practice. Begin it only after completing the conceptual assessment and resolving any critical-domain remediation.</w:t>
      </w:r>
    </w:p>
    <w:p>
      <w:pPr>
        <w:pStyle w:val="ListBullet"/>
      </w:pPr>
      <w:r>
        <w:t>Research question and interpretive hypothesis</w:t>
      </w:r>
    </w:p>
    <w:p>
      <w:pPr>
        <w:pStyle w:val="ListBullet"/>
      </w:pPr>
      <w:r>
        <w:t>Source and text-integrity note</w:t>
      </w:r>
    </w:p>
    <w:p>
      <w:pPr>
        <w:pStyle w:val="ListBullet"/>
      </w:pPr>
      <w:r>
        <w:t>Saved or exported VerseVAD analysis with named profile and settings</w:t>
      </w:r>
    </w:p>
    <w:p>
      <w:pPr>
        <w:pStyle w:val="ListBullet"/>
      </w:pPr>
      <w:r>
        <w:t>Coverage and evidence audit</w:t>
      </w:r>
    </w:p>
    <w:p>
      <w:pPr>
        <w:pStyle w:val="ListBullet"/>
      </w:pPr>
      <w:r>
        <w:t>Analysis using at least five justified metric families, including one distribution or trajectory measure</w:t>
      </w:r>
    </w:p>
    <w:p>
      <w:pPr>
        <w:pStyle w:val="ListBullet"/>
      </w:pPr>
      <w:r>
        <w:t>Pronunciation review if sound evidence is used</w:t>
      </w:r>
    </w:p>
    <w:p>
      <w:pPr>
        <w:pStyle w:val="ListBullet"/>
      </w:pPr>
      <w:r>
        <w:t>At least one result that complicates the initial reading</w:t>
      </w:r>
    </w:p>
    <w:p>
      <w:pPr>
        <w:pStyle w:val="ListBullet"/>
      </w:pPr>
      <w:r>
        <w:t>Close readings of at least two passages</w:t>
      </w:r>
    </w:p>
    <w:p>
      <w:pPr>
        <w:pStyle w:val="ListBullet"/>
      </w:pPr>
      <w:r>
        <w:t>Limitations and reproducibility appendix</w:t>
      </w:r>
    </w:p>
    <w:p>
      <w:r>
        <w:t>Use the separate assignment brief for submission instructions and the separate rubric for scoring. These materials do not issue a credential automatically.</w:t>
      </w:r>
    </w:p>
    <w:p>
      <w:pPr>
        <w:pStyle w:val="Heading1"/>
      </w:pPr>
      <w:r>
        <w:t>Glossary</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VerseVAD course glossary"/>
        <w:tblDescription w:val="Definitions of recurring methodological, lexical, statistical, prosodic, and research terms."/>
      </w:tblPr>
      <w:tblGrid>
        <w:gridCol w:w="4680"/>
        <w:gridCol w:w="4680"/>
      </w:tblGrid>
      <w:tr>
        <w:trPr>
          <w:cantSplit/>
          <w:trHeight w:hRule="atLeast"/>
          <w:tblHeader w:val="true"/>
        </w:trPr>
        <w:tc>
          <w:tcPr>
            <w:tcW w:type="dxa" w:w="2100"/>
            <w:tcMar>
              <w:top w:w="75" w:type="dxa"/>
              <w:start w:w="100" w:type="dxa"/>
              <w:bottom w:w="75" w:type="dxa"/>
              <w:end w:w="100" w:type="dxa"/>
            </w:tcMar>
            <w:vAlign w:val="center"/>
            <w:shd w:fill="E8EEF5"/>
          </w:tcPr>
          <w:p>
            <w:pPr>
              <w:spacing w:after="0" w:line="264" w:lineRule="auto"/>
            </w:pPr>
            <w:r>
              <w:rPr>
                <w:b/>
                <w:color w:val="1F4D78"/>
                <w:sz w:val="17"/>
              </w:rPr>
              <w:t>Term</w:t>
            </w:r>
          </w:p>
        </w:tc>
        <w:tc>
          <w:tcPr>
            <w:tcW w:type="dxa" w:w="7260"/>
            <w:tcMar>
              <w:top w:w="75" w:type="dxa"/>
              <w:start w:w="100" w:type="dxa"/>
              <w:bottom w:w="75" w:type="dxa"/>
              <w:end w:w="100" w:type="dxa"/>
            </w:tcMar>
            <w:vAlign w:val="center"/>
            <w:shd w:fill="E8EEF5"/>
          </w:tcPr>
          <w:p>
            <w:pPr>
              <w:spacing w:after="0" w:line="264" w:lineRule="auto"/>
            </w:pPr>
            <w:r>
              <w:rPr>
                <w:b/>
                <w:color w:val="1F4D78"/>
                <w:sz w:val="17"/>
              </w:rPr>
              <w:t>Course definition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Analysis profile</w:t>
            </w:r>
          </w:p>
        </w:tc>
        <w:tc>
          <w:tcPr>
            <w:tcW w:type="dxa" w:w="7260"/>
            <w:tcMar>
              <w:top w:w="75" w:type="dxa"/>
              <w:start w:w="100" w:type="dxa"/>
              <w:bottom w:w="75" w:type="dxa"/>
              <w:end w:w="100" w:type="dxa"/>
            </w:tcMar>
            <w:vAlign w:val="center"/>
          </w:tcPr>
          <w:p>
            <w:pPr>
              <w:spacing w:after="0" w:line="264" w:lineRule="auto"/>
            </w:pPr>
            <w:r>
              <w:rPr>
                <w:sz w:val="17"/>
              </w:rPr>
              <w:t>A reproducible starting set of enabled modules and defaults that may be deliberately customized.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Arousal</w:t>
            </w:r>
          </w:p>
        </w:tc>
        <w:tc>
          <w:tcPr>
            <w:tcW w:type="dxa" w:w="7260"/>
            <w:tcMar>
              <w:top w:w="75" w:type="dxa"/>
              <w:start w:w="100" w:type="dxa"/>
              <w:bottom w:w="75" w:type="dxa"/>
              <w:end w:w="100" w:type="dxa"/>
            </w:tcMar>
            <w:vAlign w:val="center"/>
          </w:tcPr>
          <w:p>
            <w:pPr>
              <w:spacing w:after="0" w:line="264" w:lineRule="auto"/>
            </w:pPr>
            <w:r>
              <w:rPr>
                <w:sz w:val="17"/>
              </w:rPr>
              <w:t>Normative lexical association with activation, intensity, agitation, or calm.</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Association proportion</w:t>
            </w:r>
          </w:p>
        </w:tc>
        <w:tc>
          <w:tcPr>
            <w:tcW w:type="dxa" w:w="7260"/>
            <w:tcMar>
              <w:top w:w="75" w:type="dxa"/>
              <w:start w:w="100" w:type="dxa"/>
              <w:bottom w:w="75" w:type="dxa"/>
              <w:end w:w="100" w:type="dxa"/>
            </w:tcMar>
            <w:vAlign w:val="center"/>
          </w:tcPr>
          <w:p>
            <w:pPr>
              <w:spacing w:after="0" w:line="264" w:lineRule="auto"/>
            </w:pPr>
            <w:r>
              <w:rPr>
                <w:sz w:val="17"/>
              </w:rPr>
              <w:t>Share of eligible matched evidence linked to a multi-label category; not a reader-response percentage.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Coverage</w:t>
            </w:r>
          </w:p>
        </w:tc>
        <w:tc>
          <w:tcPr>
            <w:tcW w:type="dxa" w:w="7260"/>
            <w:tcMar>
              <w:top w:w="75" w:type="dxa"/>
              <w:start w:w="100" w:type="dxa"/>
              <w:bottom w:w="75" w:type="dxa"/>
              <w:end w:w="100" w:type="dxa"/>
            </w:tcMar>
            <w:vAlign w:val="center"/>
          </w:tcPr>
          <w:p>
            <w:pPr>
              <w:spacing w:after="0" w:line="264" w:lineRule="auto"/>
            </w:pPr>
            <w:r>
              <w:rPr>
                <w:sz w:val="17"/>
              </w:rPr>
              <w:t>Matched eligible evidence divided by eligible evidence under a named policy.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Cumulative lexical load</w:t>
            </w:r>
          </w:p>
        </w:tc>
        <w:tc>
          <w:tcPr>
            <w:tcW w:type="dxa" w:w="7260"/>
            <w:tcMar>
              <w:top w:w="75" w:type="dxa"/>
              <w:start w:w="100" w:type="dxa"/>
              <w:bottom w:w="75" w:type="dxa"/>
              <w:end w:w="100" w:type="dxa"/>
            </w:tcMar>
            <w:vAlign w:val="center"/>
          </w:tcPr>
          <w:p>
            <w:pPr>
              <w:spacing w:after="0" w:line="264" w:lineRule="auto"/>
            </w:pPr>
            <w:r>
              <w:rPr>
                <w:sz w:val="17"/>
              </w:rPr>
              <w:t>A repetition- and length-sensitive accumulation of retained ratings; use a normalized counterpart for cross-length comparison.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Dominance</w:t>
            </w:r>
          </w:p>
        </w:tc>
        <w:tc>
          <w:tcPr>
            <w:tcW w:type="dxa" w:w="7260"/>
            <w:tcMar>
              <w:top w:w="75" w:type="dxa"/>
              <w:start w:w="100" w:type="dxa"/>
              <w:bottom w:w="75" w:type="dxa"/>
              <w:end w:w="100" w:type="dxa"/>
            </w:tcMar>
            <w:vAlign w:val="center"/>
          </w:tcPr>
          <w:p>
            <w:pPr>
              <w:spacing w:after="0" w:line="264" w:lineRule="auto"/>
            </w:pPr>
            <w:r>
              <w:rPr>
                <w:sz w:val="17"/>
              </w:rPr>
              <w:t>Normative lexical association with power, control, agency, submission, or vulnerability.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Eligible denominator</w:t>
            </w:r>
          </w:p>
        </w:tc>
        <w:tc>
          <w:tcPr>
            <w:tcW w:type="dxa" w:w="7260"/>
            <w:tcMar>
              <w:top w:w="75" w:type="dxa"/>
              <w:start w:w="100" w:type="dxa"/>
              <w:bottom w:w="75" w:type="dxa"/>
              <w:end w:w="100" w:type="dxa"/>
            </w:tcMar>
            <w:vAlign w:val="center"/>
          </w:tcPr>
          <w:p>
            <w:pPr>
              <w:spacing w:after="0" w:line="264" w:lineRule="auto"/>
            </w:pPr>
            <w:r>
              <w:rPr>
                <w:sz w:val="17"/>
              </w:rPr>
              <w:t>The observations permitted to contribute under the active source, view, POS, stopword, and processing rules.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Equal-work mean</w:t>
            </w:r>
          </w:p>
        </w:tc>
        <w:tc>
          <w:tcPr>
            <w:tcW w:type="dxa" w:w="7260"/>
            <w:tcMar>
              <w:top w:w="75" w:type="dxa"/>
              <w:start w:w="100" w:type="dxa"/>
              <w:bottom w:w="75" w:type="dxa"/>
              <w:end w:w="100" w:type="dxa"/>
            </w:tcMar>
            <w:vAlign w:val="center"/>
          </w:tcPr>
          <w:p>
            <w:pPr>
              <w:spacing w:after="0" w:line="264" w:lineRule="auto"/>
            </w:pPr>
            <w:r>
              <w:rPr>
                <w:sz w:val="17"/>
              </w:rPr>
              <w:t>A corpus summary in which each available work-level value contributes equally.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G2P</w:t>
            </w:r>
          </w:p>
        </w:tc>
        <w:tc>
          <w:tcPr>
            <w:tcW w:type="dxa" w:w="7260"/>
            <w:tcMar>
              <w:top w:w="75" w:type="dxa"/>
              <w:start w:w="100" w:type="dxa"/>
              <w:bottom w:w="75" w:type="dxa"/>
              <w:end w:w="100" w:type="dxa"/>
            </w:tcMar>
            <w:vAlign w:val="center"/>
          </w:tcPr>
          <w:p>
            <w:pPr>
              <w:spacing w:after="0" w:line="264" w:lineRule="auto"/>
            </w:pPr>
            <w:r>
              <w:rPr>
                <w:sz w:val="17"/>
              </w:rPr>
              <w:t>Grapheme-to-phoneme prediction; provisional ARPAbet evidence until approved or edited.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HD-D</w:t>
            </w:r>
          </w:p>
        </w:tc>
        <w:tc>
          <w:tcPr>
            <w:tcW w:type="dxa" w:w="7260"/>
            <w:tcMar>
              <w:top w:w="75" w:type="dxa"/>
              <w:start w:w="100" w:type="dxa"/>
              <w:bottom w:w="75" w:type="dxa"/>
              <w:end w:w="100" w:type="dxa"/>
            </w:tcMar>
            <w:vAlign w:val="center"/>
          </w:tcPr>
          <w:p>
            <w:pPr>
              <w:spacing w:after="0" w:line="264" w:lineRule="auto"/>
            </w:pPr>
            <w:r>
              <w:rPr>
                <w:sz w:val="17"/>
              </w:rPr>
              <w:t>Hypergeometric Distribution Diversity, an expected distinct-type proportion for a without-replacement sample.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Lemma</w:t>
            </w:r>
          </w:p>
        </w:tc>
        <w:tc>
          <w:tcPr>
            <w:tcW w:type="dxa" w:w="7260"/>
            <w:tcMar>
              <w:top w:w="75" w:type="dxa"/>
              <w:start w:w="100" w:type="dxa"/>
              <w:bottom w:w="75" w:type="dxa"/>
              <w:end w:w="100" w:type="dxa"/>
            </w:tcMar>
            <w:vAlign w:val="center"/>
          </w:tcPr>
          <w:p>
            <w:pPr>
              <w:spacing w:after="0" w:line="264" w:lineRule="auto"/>
            </w:pPr>
            <w:r>
              <w:rPr>
                <w:sz w:val="17"/>
              </w:rPr>
              <w:t>A POS-aware normalized dictionary form retained separately from the original surface form.</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MATTR</w:t>
            </w:r>
          </w:p>
        </w:tc>
        <w:tc>
          <w:tcPr>
            <w:tcW w:type="dxa" w:w="7260"/>
            <w:tcMar>
              <w:top w:w="75" w:type="dxa"/>
              <w:start w:w="100" w:type="dxa"/>
              <w:bottom w:w="75" w:type="dxa"/>
              <w:end w:w="100" w:type="dxa"/>
            </w:tcMar>
            <w:vAlign w:val="center"/>
          </w:tcPr>
          <w:p>
            <w:pPr>
              <w:spacing w:after="0" w:line="264" w:lineRule="auto"/>
            </w:pPr>
            <w:r>
              <w:rPr>
                <w:sz w:val="17"/>
              </w:rPr>
              <w:t>Moving-Average Type-Token Ratio across overlapping fixed windows.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MTLD</w:t>
            </w:r>
          </w:p>
        </w:tc>
        <w:tc>
          <w:tcPr>
            <w:tcW w:type="dxa" w:w="7260"/>
            <w:tcMar>
              <w:top w:w="75" w:type="dxa"/>
              <w:start w:w="100" w:type="dxa"/>
              <w:bottom w:w="75" w:type="dxa"/>
              <w:end w:w="100" w:type="dxa"/>
            </w:tcMar>
            <w:vAlign w:val="center"/>
          </w:tcPr>
          <w:p>
            <w:pPr>
              <w:spacing w:after="0" w:line="264" w:lineRule="auto"/>
            </w:pPr>
            <w:r>
              <w:rPr>
                <w:sz w:val="17"/>
              </w:rPr>
              <w:t>Measure of Textual Lexical Diversity based on sequence length that maintains a configured TTR threshold.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Observation-weighted mean</w:t>
            </w:r>
          </w:p>
        </w:tc>
        <w:tc>
          <w:tcPr>
            <w:tcW w:type="dxa" w:w="7260"/>
            <w:tcMar>
              <w:top w:w="75" w:type="dxa"/>
              <w:start w:w="100" w:type="dxa"/>
              <w:bottom w:w="75" w:type="dxa"/>
              <w:end w:w="100" w:type="dxa"/>
            </w:tcMar>
            <w:vAlign w:val="center"/>
          </w:tcPr>
          <w:p>
            <w:pPr>
              <w:spacing w:after="0" w:line="264" w:lineRule="auto"/>
            </w:pPr>
            <w:r>
              <w:rPr>
                <w:sz w:val="17"/>
              </w:rPr>
              <w:t>A corpus summary giving greater influence to works with more retained observations.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PCA</w:t>
            </w:r>
          </w:p>
        </w:tc>
        <w:tc>
          <w:tcPr>
            <w:tcW w:type="dxa" w:w="7260"/>
            <w:tcMar>
              <w:top w:w="75" w:type="dxa"/>
              <w:start w:w="100" w:type="dxa"/>
              <w:bottom w:w="75" w:type="dxa"/>
              <w:end w:w="100" w:type="dxa"/>
            </w:tcMar>
            <w:vAlign w:val="center"/>
          </w:tcPr>
          <w:p>
            <w:pPr>
              <w:spacing w:after="0" w:line="264" w:lineRule="auto"/>
            </w:pPr>
            <w:r>
              <w:rPr>
                <w:sz w:val="17"/>
              </w:rPr>
              <w:t>Principal Component Analysis; in VerseMap, deterministic composite axes for two-dimensional display.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PoetryID category fit</w:t>
            </w:r>
          </w:p>
        </w:tc>
        <w:tc>
          <w:tcPr>
            <w:tcW w:type="dxa" w:w="7260"/>
            <w:tcMar>
              <w:top w:w="75" w:type="dxa"/>
              <w:start w:w="100" w:type="dxa"/>
              <w:bottom w:w="75" w:type="dxa"/>
              <w:end w:w="100" w:type="dxa"/>
            </w:tcMar>
            <w:vAlign w:val="center"/>
          </w:tcPr>
          <w:p>
            <w:pPr>
              <w:spacing w:after="0" w:line="264" w:lineRule="auto"/>
            </w:pPr>
            <w:r>
              <w:rPr>
                <w:sz w:val="17"/>
              </w:rPr>
              <w:t>Prominent rule-based VAD category candidate among 27 profiles; not an emotional diagnosis.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PoetryID nearest centroid</w:t>
            </w:r>
          </w:p>
        </w:tc>
        <w:tc>
          <w:tcPr>
            <w:tcW w:type="dxa" w:w="7260"/>
            <w:tcMar>
              <w:top w:w="75" w:type="dxa"/>
              <w:start w:w="100" w:type="dxa"/>
              <w:bottom w:w="75" w:type="dxa"/>
              <w:end w:w="100" w:type="dxa"/>
            </w:tcMar>
            <w:vAlign w:val="center"/>
          </w:tcPr>
          <w:p>
            <w:pPr>
              <w:spacing w:after="0" w:line="264" w:lineRule="auto"/>
            </w:pPr>
            <w:r>
              <w:rPr>
                <w:sz w:val="17"/>
              </w:rPr>
              <w:t>Secondary Euclidean nearest-candidate profile in normalized VAD space.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Range</w:t>
            </w:r>
          </w:p>
        </w:tc>
        <w:tc>
          <w:tcPr>
            <w:tcW w:type="dxa" w:w="7260"/>
            <w:tcMar>
              <w:top w:w="75" w:type="dxa"/>
              <w:start w:w="100" w:type="dxa"/>
              <w:bottom w:w="75" w:type="dxa"/>
              <w:end w:w="100" w:type="dxa"/>
            </w:tcMar>
            <w:vAlign w:val="center"/>
          </w:tcPr>
          <w:p>
            <w:pPr>
              <w:spacing w:after="0" w:line="264" w:lineRule="auto"/>
            </w:pPr>
            <w:r>
              <w:rPr>
                <w:sz w:val="17"/>
              </w:rPr>
              <w:t>Observed maximum minus minimum; a descriptive span, not an effect size or significance test.</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Rarity</w:t>
            </w:r>
          </w:p>
        </w:tc>
        <w:tc>
          <w:tcPr>
            <w:tcW w:type="dxa" w:w="7260"/>
            <w:tcMar>
              <w:top w:w="75" w:type="dxa"/>
              <w:start w:w="100" w:type="dxa"/>
              <w:bottom w:w="75" w:type="dxa"/>
              <w:end w:w="100" w:type="dxa"/>
            </w:tcMar>
            <w:vAlign w:val="center"/>
          </w:tcPr>
          <w:p>
            <w:pPr>
              <w:spacing w:after="0" w:line="264" w:lineRule="auto"/>
            </w:pPr>
            <w:r>
              <w:rPr>
                <w:sz w:val="17"/>
              </w:rPr>
              <w:t>VerseVAD display transformation of SUBTLEX Zipf frequency so larger values indicate rarer matched vocabulary.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Scenario</w:t>
            </w:r>
          </w:p>
        </w:tc>
        <w:tc>
          <w:tcPr>
            <w:tcW w:type="dxa" w:w="7260"/>
            <w:tcMar>
              <w:top w:w="75" w:type="dxa"/>
              <w:start w:w="100" w:type="dxa"/>
              <w:bottom w:w="75" w:type="dxa"/>
              <w:end w:w="100" w:type="dxa"/>
            </w:tcMar>
            <w:vAlign w:val="center"/>
          </w:tcPr>
          <w:p>
            <w:pPr>
              <w:spacing w:after="0" w:line="264" w:lineRule="auto"/>
            </w:pPr>
            <w:r>
              <w:rPr>
                <w:sz w:val="17"/>
              </w:rPr>
              <w:t>A versioned set of review decisions applied to a corpus analysis without overwriting the baseline.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Standard deviation</w:t>
            </w:r>
          </w:p>
        </w:tc>
        <w:tc>
          <w:tcPr>
            <w:tcW w:type="dxa" w:w="7260"/>
            <w:tcMar>
              <w:top w:w="75" w:type="dxa"/>
              <w:start w:w="100" w:type="dxa"/>
              <w:bottom w:w="75" w:type="dxa"/>
              <w:end w:w="100" w:type="dxa"/>
            </w:tcMar>
            <w:vAlign w:val="center"/>
          </w:tcPr>
          <w:p>
            <w:pPr>
              <w:spacing w:after="0" w:line="264" w:lineRule="auto"/>
            </w:pPr>
            <w:r>
              <w:rPr>
                <w:sz w:val="17"/>
              </w:rPr>
              <w:t>Dispersion in the units of the summarized value; its level must be identified.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Token weighting</w:t>
            </w:r>
          </w:p>
        </w:tc>
        <w:tc>
          <w:tcPr>
            <w:tcW w:type="dxa" w:w="7260"/>
            <w:tcMar>
              <w:top w:w="75" w:type="dxa"/>
              <w:start w:w="100" w:type="dxa"/>
              <w:bottom w:w="75" w:type="dxa"/>
              <w:end w:w="100" w:type="dxa"/>
            </w:tcMar>
            <w:vAlign w:val="center"/>
          </w:tcPr>
          <w:p>
            <w:pPr>
              <w:spacing w:after="0" w:line="264" w:lineRule="auto"/>
            </w:pPr>
            <w:r>
              <w:rPr>
                <w:sz w:val="17"/>
              </w:rPr>
              <w:t>Each retained occurrence contributes, preserving repetition.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Type weighting</w:t>
            </w:r>
          </w:p>
        </w:tc>
        <w:tc>
          <w:tcPr>
            <w:tcW w:type="dxa" w:w="7260"/>
            <w:tcMar>
              <w:top w:w="75" w:type="dxa"/>
              <w:start w:w="100" w:type="dxa"/>
              <w:bottom w:w="75" w:type="dxa"/>
              <w:end w:w="100" w:type="dxa"/>
            </w:tcMar>
            <w:vAlign w:val="center"/>
          </w:tcPr>
          <w:p>
            <w:pPr>
              <w:spacing w:after="0" w:line="264" w:lineRule="auto"/>
            </w:pPr>
            <w:r>
              <w:rPr>
                <w:sz w:val="17"/>
              </w:rPr>
              <w:t>Each retained distinct form contributes once within the defined scope.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Valence</w:t>
            </w:r>
          </w:p>
        </w:tc>
        <w:tc>
          <w:tcPr>
            <w:tcW w:type="dxa" w:w="7260"/>
            <w:tcMar>
              <w:top w:w="75" w:type="dxa"/>
              <w:start w:w="100" w:type="dxa"/>
              <w:bottom w:w="75" w:type="dxa"/>
              <w:end w:w="100" w:type="dxa"/>
            </w:tcMar>
            <w:vAlign w:val="center"/>
          </w:tcPr>
          <w:p>
            <w:pPr>
              <w:spacing w:after="0" w:line="264" w:lineRule="auto"/>
            </w:pPr>
            <w:r>
              <w:rPr>
                <w:sz w:val="17"/>
              </w:rPr>
              <w:t>Normative lexical association with positive or negative pleasantness.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VerseMap Standard Profile 1.0</w:t>
            </w:r>
          </w:p>
        </w:tc>
        <w:tc>
          <w:tcPr>
            <w:tcW w:type="dxa" w:w="7260"/>
            <w:tcMar>
              <w:top w:w="75" w:type="dxa"/>
              <w:start w:w="100" w:type="dxa"/>
              <w:bottom w:w="75" w:type="dxa"/>
              <w:end w:w="100" w:type="dxa"/>
            </w:tcMar>
            <w:vAlign w:val="center"/>
          </w:tcPr>
          <w:p>
            <w:pPr>
              <w:spacing w:after="0" w:line="264" w:lineRule="auto"/>
            </w:pPr>
            <w:r>
              <w:rPr>
                <w:sz w:val="17"/>
              </w:rPr>
              <w:t>The fixed, sound-free, versioned profile used for fair target and reference comparison.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VV-PRE</w:t>
            </w:r>
          </w:p>
        </w:tc>
        <w:tc>
          <w:tcPr>
            <w:tcW w:type="dxa" w:w="7260"/>
            <w:tcMar>
              <w:top w:w="75" w:type="dxa"/>
              <w:start w:w="100" w:type="dxa"/>
              <w:bottom w:w="75" w:type="dxa"/>
              <w:end w:w="100" w:type="dxa"/>
            </w:tcMar>
            <w:vAlign w:val="center"/>
          </w:tcPr>
          <w:p>
            <w:pPr>
              <w:spacing w:after="0" w:line="264" w:lineRule="auto"/>
            </w:pPr>
            <w:r>
              <w:rPr>
                <w:sz w:val="17"/>
              </w:rPr>
              <w:t>Experimental VerseVAD Poetic Reading Ease estimate of surface lexical and presentational accessibility.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Z-score</w:t>
            </w:r>
          </w:p>
        </w:tc>
        <w:tc>
          <w:tcPr>
            <w:tcW w:type="dxa" w:w="7260"/>
            <w:tcMar>
              <w:top w:w="75" w:type="dxa"/>
              <w:start w:w="100" w:type="dxa"/>
              <w:bottom w:w="75" w:type="dxa"/>
              <w:end w:w="100" w:type="dxa"/>
            </w:tcMar>
            <w:vAlign w:val="center"/>
          </w:tcPr>
          <w:p>
            <w:pPr>
              <w:spacing w:after="0" w:line="264" w:lineRule="auto"/>
            </w:pPr>
            <w:r>
              <w:rPr>
                <w:sz w:val="17"/>
              </w:rPr>
              <w:t>Difference from a named reference mean divided by that reference standard deviation.</w:t>
            </w:r>
          </w:p>
        </w:tc>
      </w:tr>
    </w:tbl>
    <w:sectPr w:rsidR="00FC693F" w:rsidRPr="0006063C" w:rsidSect="00034616">
      <w:headerReference w:type="default" r:id="rId9"/>
      <w:footerReference w:type="default" r:id="rId10"/>
      <w:headerReference w:type="first" r:id="rId15"/>
      <w:headerReference w:type="even" r:id="rId16"/>
      <w:footerReference w:type="first" r:id="rId17"/>
      <w:footerReference w:type="even" r:id="rId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color w:val="5E6B75"/>
        <w:sz w:val="16"/>
      </w:rPr>
      <w:t>Free VerseVAD Training Material · Version 1.0</w:t>
    </w:r>
    <w:r>
      <w:tab/>
    </w:r>
    <w:r>
      <w:rPr>
        <w:sz w:val="16"/>
      </w:rPr>
      <w:t xml:space="preserve">Page </w:t>
    </w:r>
    <w:r/>
    <w:r/>
    <w:r/>
    <w:r>
      <w:rPr>
        <w:rFonts w:ascii="Calibri" w:hAnsi="Calibri"/>
        <w:sz w:val="16"/>
      </w:rPr>
      <w:t>1</w:t>
    </w:r>
    <w:r/>
    <w:r>
      <w:rPr>
        <w:sz w:val="16"/>
      </w:rPr>
      <w:t xml:space="preserve"> of </w:t>
    </w:r>
    <w:r/>
    <w:r/>
    <w:r/>
    <w:r>
      <w:rPr>
        <w:rFonts w:ascii="Calibri" w:hAnsi="Calibri"/>
        <w:sz w:val="16"/>
      </w:rPr>
      <w:t>1</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b/>
        <w:color w:val="5E6B75"/>
        <w:sz w:val="16"/>
      </w:rPr>
      <w:t>Computational Close Reading with VerseVAD · Learner Manual</w:t>
    </w:r>
    <w:r>
      <w:tab/>
    </w:r>
    <w:r>
      <w:rPr>
        <w:rFonts w:ascii="Calibri" w:hAnsi="Calibri"/>
        <w:b/>
        <w:color w:val="8A3B20"/>
        <w:sz w:val="16"/>
      </w:rPr>
      <w:t>TRAINING 1.0 · FREE COURSE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E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224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Calibri" w:hAnsi="Calibri"/>
      <w:b w:val="0"/>
      <w:i/>
      <w:iCs/>
      <w:color w:val="8A3B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color w:val="1E2B3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color w:val="1E2B3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200"/>
    </w:pPr>
    <w:rPr>
      <w:rFonts w:ascii="Calibri" w:hAnsi="Calibri"/>
      <w:b/>
      <w:bCs/>
      <w:i/>
      <w:color w:val="5E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VADBullet">
    <w:name w:val="VerseVAD Bullet"/>
    <w:basedOn w:val="Normal"/>
    <w:pPr>
      <w:spacing w:after="80" w:line="300" w:lineRule="auto"/>
      <w:ind w:left="540" w:hanging="271"/>
    </w:pPr>
  </w:style>
  <w:style w:type="paragraph" w:customStyle="1" w:styleId="VerseVADNumber">
    <w:name w:val="VerseVAD Number"/>
    <w:basedOn w:val="Normal"/>
    <w:pPr>
      <w:spacing w:after="80" w:line="300" w:lineRule="auto"/>
      <w:ind w:left="540" w:hanging="271"/>
    </w:pPr>
  </w:style>
  <w:style w:type="paragraph" w:customStyle="1" w:styleId="VerseVADOption">
    <w:name w:val="VerseVAD Option"/>
    <w:basedOn w:val="Normal"/>
    <w:pPr>
      <w:keepLines/>
      <w:spacing w:after="60"/>
      <w:ind w:left="576" w:hanging="360"/>
    </w:pPr>
  </w:style>
  <w:style w:type="paragraph" w:customStyle="1" w:styleId="VerseVADKicker">
    <w:name w:val="VerseVAD Kicker"/>
    <w:basedOn w:val="Normal"/>
    <w:pPr>
      <w:keepNext/>
      <w:spacing w:after="160"/>
    </w:pPr>
    <w:rPr>
      <w:rFonts w:ascii="Calibri" w:hAnsi="Calibri"/>
      <w:b/>
      <w:color w:val="8A3B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Close Reading with VerseVAD</dc:title>
  <dc:subject>A 12–20 hours independent-study course aligned to VerseVAD 1.0.0</dc:subject>
  <dc:creator/>
  <cp:keywords>VerseVAD; computational poetics; free training; learner material</cp:keywords>
  <dc:description>Free VerseVAD Training Material</dc:description>
  <cp:lastModifiedBy/>
  <cp:revision>1</cp:revision>
  <dcterms:created xsi:type="dcterms:W3CDTF">2013-12-23T23:15:00Z</dcterms:created>
  <dcterms:modified xsi:type="dcterms:W3CDTF">2013-12-23T23:15:00Z</dcterms:modified>
  <cp:category/>
</cp:coreProperties>
</file>