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80"/>
      </w:pPr>
    </w:p>
    <w:p>
      <w:pPr>
        <w:pStyle w:val="VerseVADKicker"/>
        <w:jc w:val="center"/>
      </w:pPr>
      <w:r>
        <w:t>VERSEVAD TRAINING PATHWAY · ANALYST LEVEL 2</w:t>
      </w:r>
    </w:p>
    <w:p>
      <w:pPr>
        <w:pStyle w:val="Title"/>
        <w:jc w:val="center"/>
      </w:pPr>
      <w:r>
        <w:t>Advanced Corpus and Research Analysis</w:t>
      </w:r>
    </w:p>
    <w:p>
      <w:pPr>
        <w:pStyle w:val="Subtitle"/>
        <w:jc w:val="center"/>
      </w:pPr>
      <w:r>
        <w:t>Independent-Study Learner Manual</w:t>
      </w:r>
    </w:p>
    <w:tbl>
      <w:tblPr>
        <w:tblW w:type="dxa" w:w="6000"/>
        <w:jc w:val="center"/>
        <w:tblLook w:firstColumn="1" w:firstRow="1" w:lastColumn="0" w:lastRow="0" w:noHBand="0" w:noVBand="1" w:val="04A0"/>
        <w:tblLayout w:type="fixed"/>
        <w:tblBorders>
          <w:top w:val="single" w:sz="0" w:space="0" w:color="8A3B20"/>
          <w:left w:val="single" w:sz="0" w:space="0" w:color="8A3B20"/>
          <w:bottom w:val="single" w:sz="0" w:space="0" w:color="8A3B20"/>
          <w:right w:val="single" w:sz="0" w:space="0" w:color="8A3B20"/>
          <w:insideH w:val="single" w:sz="0" w:space="0" w:color="8A3B20"/>
          <w:insideV w:val="single" w:sz="0" w:space="0" w:color="8A3B20"/>
        </w:tblBorders>
        <w:tblCaption w:val="Decorative cover rule"/>
        <w:tblDescription w:val="Rust-colored separator beneath the training title."/>
      </w:tblPr>
      <w:tblGrid>
        <w:gridCol w:w="9360"/>
      </w:tblGrid>
      <w:tr>
        <w:tc>
          <w:tcPr>
            <w:tcW w:type="dxa" w:w="9360"/>
            <w:shd w:fill="8A3B20"/>
            <w:tcMar>
              <w:top w:w="18" w:type="dxa"/>
              <w:start w:w="0" w:type="dxa"/>
              <w:bottom w:w="18" w:type="dxa"/>
              <w:end w:w="0" w:type="dxa"/>
            </w:tcMar>
          </w:tcPr>
          <w:p>
            <w:r/>
          </w:p>
        </w:tc>
      </w:tr>
    </w:tbl>
    <w:p/>
    <w:tbl>
      <w:tblPr>
        <w:tblW w:type="dxa" w:w="6700"/>
        <w:jc w:val="center"/>
        <w:tblLook w:firstColumn="1" w:firstRow="1" w:lastColumn="0" w:lastRow="0" w:noHBand="0" w:noVBand="1" w:val="04A0"/>
        <w:tblLayout w:type="fixed"/>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aption w:val="Training document metadata"/>
        <w:tblDescription w:val="Purpose, study time, prerequisite, versions, preparation date, and private distribution status."/>
      </w:tblPr>
      <w:tblGrid>
        <w:gridCol w:w="4680"/>
        <w:gridCol w:w="4680"/>
      </w:tblGrid>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PURPOSE</w:t>
            </w:r>
          </w:p>
        </w:tc>
        <w:tc>
          <w:tcPr>
            <w:tcW w:type="dxa" w:w="4800"/>
            <w:tcMar>
              <w:top w:w="65" w:type="dxa"/>
              <w:start w:w="100" w:type="dxa"/>
              <w:bottom w:w="65" w:type="dxa"/>
              <w:end w:w="100" w:type="dxa"/>
            </w:tcMar>
            <w:vAlign w:val="center"/>
          </w:tcPr>
          <w:p>
            <w:pPr>
              <w:spacing w:after="0"/>
            </w:pPr>
            <w:r>
              <w:rPr>
                <w:sz w:val="18"/>
              </w:rPr>
              <w:t>A 24–40 hours independent-study course aligned to VerseVAD 1.0.0</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ESTIMATED STUDY</w:t>
            </w:r>
          </w:p>
        </w:tc>
        <w:tc>
          <w:tcPr>
            <w:tcW w:type="dxa" w:w="4800"/>
            <w:tcMar>
              <w:top w:w="65" w:type="dxa"/>
              <w:start w:w="100" w:type="dxa"/>
              <w:bottom w:w="65" w:type="dxa"/>
              <w:end w:w="100" w:type="dxa"/>
            </w:tcMar>
            <w:vAlign w:val="center"/>
          </w:tcPr>
          <w:p>
            <w:pPr>
              <w:spacing w:after="0"/>
            </w:pPr>
            <w:r>
              <w:rPr>
                <w:sz w:val="18"/>
              </w:rPr>
              <w:t>24–40 hours</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PREREQUISITE</w:t>
            </w:r>
          </w:p>
        </w:tc>
        <w:tc>
          <w:tcPr>
            <w:tcW w:type="dxa" w:w="4800"/>
            <w:tcMar>
              <w:top w:w="65" w:type="dxa"/>
              <w:start w:w="100" w:type="dxa"/>
              <w:bottom w:w="65" w:type="dxa"/>
              <w:end w:w="100" w:type="dxa"/>
            </w:tcMar>
            <w:vAlign w:val="center"/>
          </w:tcPr>
          <w:p>
            <w:pPr>
              <w:spacing w:after="0"/>
            </w:pPr>
            <w:r>
              <w:rPr>
                <w:sz w:val="18"/>
              </w:rPr>
              <w:t>VerseVAD Analyst Level 1 or equivalent demonstrated competence</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TRAINING VERSION</w:t>
            </w:r>
          </w:p>
        </w:tc>
        <w:tc>
          <w:tcPr>
            <w:tcW w:type="dxa" w:w="4800"/>
            <w:tcMar>
              <w:top w:w="65" w:type="dxa"/>
              <w:start w:w="100" w:type="dxa"/>
              <w:bottom w:w="65" w:type="dxa"/>
              <w:end w:w="100" w:type="dxa"/>
            </w:tcMar>
            <w:vAlign w:val="center"/>
          </w:tcPr>
          <w:p>
            <w:pPr>
              <w:spacing w:after="0"/>
            </w:pPr>
            <w:r>
              <w:rPr>
                <w:sz w:val="18"/>
              </w:rPr>
              <w:t>1.0 — Free Course Edition</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SOFTWARE BASIS</w:t>
            </w:r>
          </w:p>
        </w:tc>
        <w:tc>
          <w:tcPr>
            <w:tcW w:type="dxa" w:w="4800"/>
            <w:tcMar>
              <w:top w:w="65" w:type="dxa"/>
              <w:start w:w="100" w:type="dxa"/>
              <w:bottom w:w="65" w:type="dxa"/>
              <w:end w:w="100" w:type="dxa"/>
            </w:tcMar>
            <w:vAlign w:val="center"/>
          </w:tcPr>
          <w:p>
            <w:pPr>
              <w:spacing w:after="0"/>
            </w:pPr>
            <w:r>
              <w:rPr>
                <w:sz w:val="18"/>
              </w:rPr>
              <w:t>VerseVAD 1.0.0 · implementation a7d93c6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PREPARED</w:t>
            </w:r>
          </w:p>
        </w:tc>
        <w:tc>
          <w:tcPr>
            <w:tcW w:type="dxa" w:w="4800"/>
            <w:tcMar>
              <w:top w:w="65" w:type="dxa"/>
              <w:start w:w="100" w:type="dxa"/>
              <w:bottom w:w="65" w:type="dxa"/>
              <w:end w:w="100" w:type="dxa"/>
            </w:tcMar>
            <w:vAlign w:val="center"/>
          </w:tcPr>
          <w:p>
            <w:pPr>
              <w:spacing w:after="0"/>
            </w:pPr>
            <w:r>
              <w:rPr>
                <w:sz w:val="18"/>
              </w:rPr>
              <w:t>August 1, 2026</w:t>
            </w:r>
          </w:p>
        </w:tc>
      </w:tr>
      <w:tr>
        <w:trPr>
          <w:cantSplit/>
          <w:trHeight w:hRule="atLeast"/>
        </w:trPr>
        <w:tc>
          <w:tcPr>
            <w:tcW w:type="dxa" w:w="1900"/>
            <w:tcMar>
              <w:top w:w="65" w:type="dxa"/>
              <w:start w:w="100" w:type="dxa"/>
              <w:bottom w:w="65" w:type="dxa"/>
              <w:end w:w="100" w:type="dxa"/>
            </w:tcMar>
            <w:vAlign w:val="center"/>
          </w:tcPr>
          <w:p>
            <w:pPr>
              <w:spacing w:after="0"/>
            </w:pPr>
            <w:r>
              <w:rPr>
                <w:b/>
                <w:color w:val="8A3B20"/>
                <w:sz w:val="16"/>
              </w:rPr>
              <w:t>DISTRIBUTION</w:t>
            </w:r>
          </w:p>
        </w:tc>
        <w:tc>
          <w:tcPr>
            <w:tcW w:type="dxa" w:w="4800"/>
            <w:tcMar>
              <w:top w:w="65" w:type="dxa"/>
              <w:start w:w="100" w:type="dxa"/>
              <w:bottom w:w="65" w:type="dxa"/>
              <w:end w:w="100" w:type="dxa"/>
            </w:tcMar>
            <w:vAlign w:val="center"/>
          </w:tcPr>
          <w:p>
            <w:pPr>
              <w:spacing w:after="0"/>
            </w:pPr>
            <w:r>
              <w:rPr>
                <w:sz w:val="18"/>
              </w:rPr>
              <w:t>Free VerseVAD Training Material</w:t>
            </w:r>
          </w:p>
        </w:tc>
      </w:tr>
    </w:tbl>
    <w:p/>
    <w:tbl>
      <w:tblPr>
        <w:tblW w:type="dxa" w:w="6700"/>
        <w:jc w:val="center"/>
        <w:tblLook w:firstColumn="1" w:firstRow="1" w:lastColumn="0" w:lastRow="0" w:noHBand="0" w:noVBand="1" w:val="04A0"/>
        <w:tblLayout w:type="fixed"/>
        <w:tblCaption w:val="Private distribution notice"/>
        <w:tblDescription w:val="Private Training Material / Not for Public Distribution"/>
      </w:tblPr>
      <w:tblGrid>
        <w:gridCol w:w="9360"/>
      </w:tblGrid>
      <w:tr>
        <w:tc>
          <w:tcPr>
            <w:tcW w:type="dxa" w:w="9360"/>
            <w:shd w:fill="F4E9E3"/>
            <w:tcMar>
              <w:top w:w="140" w:type="dxa"/>
              <w:start w:w="170" w:type="dxa"/>
              <w:bottom w:w="140" w:type="dxa"/>
              <w:end w:w="170" w:type="dxa"/>
            </w:tcMar>
          </w:tcPr>
          <w:p>
            <w:pPr>
              <w:spacing w:after="0"/>
            </w:pPr>
            <w:r>
              <w:rPr>
                <w:b/>
                <w:color w:val="8A3B20"/>
              </w:rPr>
              <w:t>Free VerseVAD Training Material</w:t>
            </w:r>
          </w:p>
        </w:tc>
      </w:tr>
    </w:tbl>
    <w:p>
      <w:r/>
    </w:p>
    <w:p>
      <w:pPr>
        <w:pStyle w:val="Heading1"/>
      </w:pPr>
      <w:r>
        <w:t>Contents and Course Map</w:t>
      </w:r>
    </w:p>
    <w:p>
      <w:r>
        <w:rPr>
          <w:i/>
          <w:color w:val="5E6B75"/>
          <w:sz w:val="18"/>
        </w:rPr>
        <w:t>Use Word's Navigation pane to move among structured headings. This field-free map renders consistently across Word installations.</w:t>
      </w:r>
    </w:p>
    <w:p>
      <w:pPr>
        <w:spacing w:after="80"/>
      </w:pPr>
      <w:r>
        <w:rPr>
          <w:b/>
          <w:color w:val="1F4D78"/>
        </w:rPr>
        <w:t>Course Orientation</w:t>
      </w:r>
    </w:p>
    <w:p>
      <w:pPr>
        <w:spacing w:after="80"/>
      </w:pPr>
      <w:r>
        <w:rPr>
          <w:b w:val="0"/>
          <w:color w:val="5E6B75"/>
        </w:rPr>
        <w:t>L2.1 · Corpus Design and Research Questions</w:t>
      </w:r>
    </w:p>
    <w:p>
      <w:pPr>
        <w:spacing w:after="80"/>
      </w:pPr>
      <w:r>
        <w:rPr>
          <w:b w:val="0"/>
          <w:color w:val="5E6B75"/>
        </w:rPr>
        <w:t>L2.2 · Corpus Ingestion, Cleaning, and Segmentation</w:t>
      </w:r>
    </w:p>
    <w:p>
      <w:pPr>
        <w:spacing w:after="80"/>
      </w:pPr>
      <w:r>
        <w:rPr>
          <w:b w:val="0"/>
          <w:color w:val="5E6B75"/>
        </w:rPr>
        <w:t>L2.3 · Persistent Projects and Personal Corpora</w:t>
      </w:r>
    </w:p>
    <w:p>
      <w:pPr>
        <w:spacing w:after="80"/>
      </w:pPr>
      <w:r>
        <w:rPr>
          <w:b w:val="0"/>
          <w:color w:val="5E6B75"/>
        </w:rPr>
        <w:t>L2.4 · Descriptive Statistics for Literary Corpora</w:t>
      </w:r>
    </w:p>
    <w:p>
      <w:pPr>
        <w:spacing w:after="80"/>
      </w:pPr>
      <w:r>
        <w:rPr>
          <w:b w:val="0"/>
          <w:color w:val="5E6B75"/>
        </w:rPr>
        <w:t>L2.5 · Standardization, Z-Scores, and Comparative Baselines</w:t>
      </w:r>
    </w:p>
    <w:p>
      <w:pPr>
        <w:spacing w:after="80"/>
      </w:pPr>
      <w:r>
        <w:rPr>
          <w:b w:val="0"/>
          <w:color w:val="5E6B75"/>
        </w:rPr>
        <w:t>L2.6 · VerseMap Methodology and Similarity</w:t>
      </w:r>
    </w:p>
    <w:p>
      <w:pPr>
        <w:spacing w:after="80"/>
      </w:pPr>
      <w:r>
        <w:rPr>
          <w:b w:val="0"/>
          <w:color w:val="5E6B75"/>
        </w:rPr>
        <w:t>L2.7 · Aggregation and Weighting</w:t>
      </w:r>
    </w:p>
    <w:p>
      <w:pPr>
        <w:spacing w:after="80"/>
      </w:pPr>
      <w:r>
        <w:rPr>
          <w:b w:val="0"/>
          <w:color w:val="5E6B75"/>
        </w:rPr>
        <w:t>L2.8 · Statistical Inference and Effect Interpretation</w:t>
      </w:r>
    </w:p>
    <w:p>
      <w:pPr>
        <w:spacing w:after="80"/>
      </w:pPr>
      <w:r>
        <w:rPr>
          <w:b w:val="0"/>
          <w:color w:val="5E6B75"/>
        </w:rPr>
        <w:t>L2.9 · Diachronic, Collection, and Subcorpus Analysis</w:t>
      </w:r>
    </w:p>
    <w:p>
      <w:pPr>
        <w:spacing w:after="80"/>
      </w:pPr>
      <w:r>
        <w:rPr>
          <w:b w:val="0"/>
          <w:color w:val="5E6B75"/>
        </w:rPr>
        <w:t>L2.10 · Reproducibility, Provenance, and Version Control</w:t>
      </w:r>
    </w:p>
    <w:p>
      <w:pPr>
        <w:spacing w:after="80"/>
      </w:pPr>
      <w:r>
        <w:rPr>
          <w:b w:val="0"/>
          <w:color w:val="5E6B75"/>
        </w:rPr>
        <w:t>L2.11 · Research Ethics, Copyright, Privacy, and Data Governance</w:t>
      </w:r>
    </w:p>
    <w:p>
      <w:pPr>
        <w:spacing w:after="80"/>
      </w:pPr>
      <w:r>
        <w:rPr>
          <w:b w:val="0"/>
          <w:color w:val="5E6B75"/>
        </w:rPr>
        <w:t>L2.12 · Scholarly and Professional Reporting</w:t>
      </w:r>
    </w:p>
    <w:p>
      <w:pPr>
        <w:spacing w:after="80"/>
      </w:pPr>
      <w:r>
        <w:rPr>
          <w:b/>
          <w:color w:val="1F4D78"/>
        </w:rPr>
        <w:t>Course Synthesis and Method Reference</w:t>
      </w:r>
    </w:p>
    <w:p>
      <w:pPr>
        <w:spacing w:after="80"/>
      </w:pPr>
      <w:r>
        <w:rPr>
          <w:b/>
          <w:color w:val="1F4D78"/>
        </w:rPr>
        <w:t>Final Conceptual Assessment</w:t>
      </w:r>
    </w:p>
    <w:p>
      <w:pPr>
        <w:spacing w:after="80"/>
      </w:pPr>
      <w:r>
        <w:rPr>
          <w:b/>
          <w:color w:val="1F4D78"/>
        </w:rPr>
        <w:t>Applied Assessment Bridge</w:t>
      </w:r>
    </w:p>
    <w:p>
      <w:pPr>
        <w:spacing w:after="80"/>
      </w:pPr>
      <w:r>
        <w:rPr>
          <w:b/>
          <w:color w:val="1F4D78"/>
        </w:rPr>
        <w:t>Glossary</w:t>
      </w:r>
    </w:p>
    <w:p>
      <w:pPr>
        <w:pStyle w:val="Heading1"/>
      </w:pPr>
      <w:r>
        <w:t>Course Orientation</w:t>
      </w:r>
    </w:p>
    <w:p>
      <w:pPr>
        <w:pStyle w:val="Heading2"/>
      </w:pPr>
      <w:r>
        <w:t>Purpose and audience</w:t>
      </w:r>
    </w:p>
    <w:p>
      <w:r>
        <w:t>An advanced research course in corpus construction, descriptive and standardized analysis, VerseMap, aggregation, inference boundaries, reproducibility, ethics, and reporting.</w:t>
      </w:r>
    </w:p>
    <w:p>
      <w:r>
        <w:t>**Audience:** Researchers designing corpus, collection, historical, comparative, or reproducible VerseVAD studies</w:t>
      </w:r>
    </w:p>
    <w:p>
      <w:r>
        <w:t>**Prerequisite:** VerseVAD Analyst Level 1 or equivalent demonstrated competence</w:t>
      </w:r>
    </w:p>
    <w:p>
      <w:r>
        <w:t>**Estimated independent-study time:** 24–40 hours</w:t>
      </w:r>
    </w:p>
    <w:tbl>
      <w:tblPr>
        <w:tblW w:type="dxa" w:w="9360"/>
        <w:jc w:val="center"/>
        <w:tblLook w:firstColumn="1" w:firstRow="1" w:lastColumn="0" w:lastRow="0" w:noHBand="0" w:noVBand="1" w:val="04A0"/>
        <w:tblLayout w:type="fixed"/>
        <w:tblBorders>
          <w:top w:val="single" w:sz="6" w:space="0" w:color="8A3B20"/>
          <w:left w:val="single" w:sz="6" w:space="0" w:color="8A3B20"/>
          <w:bottom w:val="single" w:sz="6" w:space="0" w:color="8A3B20"/>
          <w:right w:val="single" w:sz="6" w:space="0" w:color="8A3B20"/>
          <w:insideH w:val="single" w:sz="6" w:space="0" w:color="8A3B20"/>
          <w:insideV w:val="single" w:sz="6" w:space="0" w:color="8A3B20"/>
        </w:tblBorders>
        <w:tblCaption w:val="Caution callout"/>
        <w:tblDescription w:val="This draft package supports learning and evaluation. It does not itself issue a certificate, confer instructor authorization, or replace owner-approved credential administration."/>
      </w:tblPr>
      <w:tblGrid>
        <w:gridCol w:w="9360"/>
      </w:tblGrid>
      <w:tr>
        <w:trPr>
          <w:tblHeader w:val="true"/>
        </w:trPr>
        <w:tc>
          <w:tcPr>
            <w:tcW w:type="dxa" w:w="9360"/>
            <w:shd w:fill="F4E9E3"/>
            <w:tcMar>
              <w:top w:w="140" w:type="dxa"/>
              <w:start w:w="160" w:type="dxa"/>
              <w:bottom w:w="140" w:type="dxa"/>
              <w:end w:w="160" w:type="dxa"/>
            </w:tcMar>
          </w:tcPr>
          <w:p>
            <w:pPr>
              <w:spacing w:after="0"/>
            </w:pPr>
            <w:r>
              <w:rPr>
                <w:b/>
                <w:color w:val="8A3B20"/>
              </w:rPr>
              <w:t xml:space="preserve">CAUTION: </w:t>
            </w:r>
            <w:r>
              <w:t>This course package supports learning and evaluation. It does not itself issue a certificate, confer instructor authorization, or replace owner-approved credential administration.</w:t>
            </w:r>
          </w:p>
        </w:tc>
      </w:tr>
    </w:tbl>
    <w:p>
      <w:pPr>
        <w:spacing w:after="0"/>
      </w:pPr>
    </w:p>
    <w:p>
      <w:pPr>
        <w:pStyle w:val="Heading2"/>
      </w:pPr>
      <w:r>
        <w:t>Assessed course outcomes</w:t>
      </w:r>
    </w:p>
    <w:p>
      <w:pPr>
        <w:pStyle w:val="ListBullet"/>
      </w:pPr>
      <w:r>
        <w:t>Design and document a defensible literary corpus.</w:t>
      </w:r>
    </w:p>
    <w:p>
      <w:pPr>
        <w:pStyle w:val="ListBullet"/>
      </w:pPr>
      <w:r>
        <w:t>Ingest and version clean UTF-8 text while preserving source provenance.</w:t>
      </w:r>
    </w:p>
    <w:p>
      <w:pPr>
        <w:pStyle w:val="ListBullet"/>
      </w:pPr>
      <w:r>
        <w:t>Use persistent collections and immutable analyses safely.</w:t>
      </w:r>
    </w:p>
    <w:p>
      <w:pPr>
        <w:pStyle w:val="ListBullet"/>
      </w:pPr>
      <w:r>
        <w:t>Interpret corpus distributions, standardization, weighting, and VerseMap evidence.</w:t>
      </w:r>
    </w:p>
    <w:p>
      <w:pPr>
        <w:pStyle w:val="ListBullet"/>
      </w:pPr>
      <w:r>
        <w:t>Decide when inference is justified and when to remain descriptive.</w:t>
      </w:r>
    </w:p>
    <w:p>
      <w:pPr>
        <w:pStyle w:val="ListBullet"/>
      </w:pPr>
      <w:r>
        <w:t>Conduct diachronic or subcorpus sensitivity analyses.</w:t>
      </w:r>
    </w:p>
    <w:p>
      <w:pPr>
        <w:pStyle w:val="ListBullet"/>
      </w:pPr>
      <w:r>
        <w:t>Produce an ethical, reproducible scholarly corpus report and defend its method.</w:t>
      </w:r>
    </w:p>
    <w:p>
      <w:pPr>
        <w:pStyle w:val="Heading2"/>
      </w:pPr>
      <w:r>
        <w:t>Recommended independent-study rhythm</w:t>
      </w:r>
    </w:p>
    <w:p>
      <w:pPr>
        <w:pStyle w:val="ListNumber"/>
      </w:pPr>
      <w:r>
        <w:t>Preview the module purpose and write an initial prediction or question.</w:t>
      </w:r>
    </w:p>
    <w:p>
      <w:pPr>
        <w:pStyle w:val="ListNumber"/>
      </w:pPr>
      <w:r>
        <w:t>Read the method explanation and define unfamiliar terms in your own words.</w:t>
      </w:r>
    </w:p>
    <w:p>
      <w:pPr>
        <w:pStyle w:val="ListNumber"/>
      </w:pPr>
      <w:r>
        <w:t>Complete the guided workflow in VerseVAD with an approved public-domain or synthetic text.</w:t>
      </w:r>
    </w:p>
    <w:p>
      <w:pPr>
        <w:pStyle w:val="ListNumber"/>
      </w:pPr>
      <w:r>
        <w:t>Audit coverage, denominators, settings, warnings, and evidence before interpreting.</w:t>
      </w:r>
    </w:p>
    <w:p>
      <w:pPr>
        <w:pStyle w:val="ListNumber"/>
      </w:pPr>
      <w:r>
        <w:t>Complete the practice case and compare your decision with the module rule.</w:t>
      </w:r>
    </w:p>
    <w:p>
      <w:pPr>
        <w:pStyle w:val="ListNumber"/>
      </w:pPr>
      <w:r>
        <w:t>Record one transferable principle and one unresolved question in a private research notebook.</w:t>
      </w:r>
    </w:p>
    <w:p>
      <w:pPr>
        <w:pStyle w:val="Heading2"/>
      </w:pPr>
      <w:r>
        <w:t>Course-wide method covenant</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Course-wide method safeguards"/>
        <w:tblDescription w:val="Current VerseVAD safeguards governing source fidelity, missingness, comparison, persistence, and interpretation."/>
      </w:tblPr>
      <w:tblGrid>
        <w:gridCol w:w="4680"/>
        <w:gridCol w:w="4680"/>
      </w:tblGrid>
      <w:tr>
        <w:trPr>
          <w:cantSplit/>
          <w:trHeight w:hRule="atLeast"/>
          <w:tblHeader w:val="true"/>
        </w:trPr>
        <w:tc>
          <w:tcPr>
            <w:tcW w:type="dxa" w:w="2100"/>
            <w:tcMar>
              <w:top w:w="75" w:type="dxa"/>
              <w:start w:w="100" w:type="dxa"/>
              <w:bottom w:w="75" w:type="dxa"/>
              <w:end w:w="100" w:type="dxa"/>
            </w:tcMar>
            <w:vAlign w:val="center"/>
            <w:shd w:fill="E8EEF5"/>
          </w:tcPr>
          <w:p>
            <w:pPr>
              <w:spacing w:after="0" w:line="264" w:lineRule="auto"/>
            </w:pPr>
            <w:r>
              <w:rPr>
                <w:b/>
                <w:color w:val="1F4D78"/>
                <w:sz w:val="17"/>
              </w:rPr>
              <w:t>Safeguard</w:t>
            </w:r>
          </w:p>
        </w:tc>
        <w:tc>
          <w:tcPr>
            <w:tcW w:type="dxa" w:w="7260"/>
            <w:tcMar>
              <w:top w:w="75" w:type="dxa"/>
              <w:start w:w="100" w:type="dxa"/>
              <w:bottom w:w="75" w:type="dxa"/>
              <w:end w:w="100" w:type="dxa"/>
            </w:tcMar>
            <w:vAlign w:val="center"/>
            <w:shd w:fill="E8EEF5"/>
          </w:tcPr>
          <w:p>
            <w:pPr>
              <w:spacing w:after="0" w:line="264" w:lineRule="auto"/>
            </w:pPr>
            <w:r>
              <w:rPr>
                <w:b/>
                <w:color w:val="1F4D78"/>
                <w:sz w:val="17"/>
              </w:rPr>
              <w:t>Required practice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Evidence, not verdict</w:t>
            </w:r>
          </w:p>
        </w:tc>
        <w:tc>
          <w:tcPr>
            <w:tcW w:type="dxa" w:w="7260"/>
            <w:tcMar>
              <w:top w:w="75" w:type="dxa"/>
              <w:start w:w="100" w:type="dxa"/>
              <w:bottom w:w="75" w:type="dxa"/>
              <w:end w:w="100" w:type="dxa"/>
            </w:tcMar>
            <w:vAlign w:val="center"/>
          </w:tcPr>
          <w:p>
            <w:pPr>
              <w:spacing w:after="0" w:line="264" w:lineRule="auto"/>
            </w:pPr>
            <w:r>
              <w:rPr>
                <w:sz w:val="17"/>
              </w:rPr>
              <w:t>VerseVAD reports inspectable lexical and formal evidence. It does not identify a poem's true emotion, speaker psychology, authorial intention, literary quality, or correct interpretation.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Source fidelity</w:t>
            </w:r>
          </w:p>
        </w:tc>
        <w:tc>
          <w:tcPr>
            <w:tcW w:type="dxa" w:w="7260"/>
            <w:tcMar>
              <w:top w:w="75" w:type="dxa"/>
              <w:start w:w="100" w:type="dxa"/>
              <w:bottom w:w="75" w:type="dxa"/>
              <w:end w:w="100" w:type="dxa"/>
            </w:tcMar>
            <w:vAlign w:val="center"/>
          </w:tcPr>
          <w:p>
            <w:pPr>
              <w:spacing w:after="0" w:line="264" w:lineRule="auto"/>
            </w:pPr>
            <w:r>
              <w:rPr>
                <w:sz w:val="17"/>
              </w:rPr>
              <w:t>Original spelling, punctuation, lineation, and stanza boundaries remain part of the preserved source. Normalization occurs only in a traceable processing representation.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Missingness</w:t>
            </w:r>
          </w:p>
        </w:tc>
        <w:tc>
          <w:tcPr>
            <w:tcW w:type="dxa" w:w="7260"/>
            <w:tcMar>
              <w:top w:w="75" w:type="dxa"/>
              <w:start w:w="100" w:type="dxa"/>
              <w:bottom w:w="75" w:type="dxa"/>
              <w:end w:w="100" w:type="dxa"/>
            </w:tcMar>
            <w:vAlign w:val="center"/>
          </w:tcPr>
          <w:p>
            <w:pPr>
              <w:spacing w:after="0" w:line="264" w:lineRule="auto"/>
            </w:pPr>
            <w:r>
              <w:rPr>
                <w:sz w:val="17"/>
              </w:rPr>
              <w:t>Unmatched, unresolved, ineligible, suppressed, and unavailable evidence remain distinct. VerseVAD does not replace a missing rating with zero or a neutral midpoint.</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Weighting and stopwords</w:t>
            </w:r>
          </w:p>
        </w:tc>
        <w:tc>
          <w:tcPr>
            <w:tcW w:type="dxa" w:w="7260"/>
            <w:tcMar>
              <w:top w:w="75" w:type="dxa"/>
              <w:start w:w="100" w:type="dxa"/>
              <w:bottom w:w="75" w:type="dxa"/>
              <w:end w:w="100" w:type="dxa"/>
            </w:tcMar>
            <w:vAlign w:val="center"/>
          </w:tcPr>
          <w:p>
            <w:pPr>
              <w:spacing w:after="0" w:line="264" w:lineRule="auto"/>
            </w:pPr>
            <w:r>
              <w:rPr>
                <w:sz w:val="17"/>
              </w:rPr>
              <w:t>Token weighting retains repetition; type weighting gives each retained distinct form one contribution. All-matched and stopword-excluded views answer different questions and must be named in comparison work.</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Coverage</w:t>
            </w:r>
          </w:p>
        </w:tc>
        <w:tc>
          <w:tcPr>
            <w:tcW w:type="dxa" w:w="7260"/>
            <w:tcMar>
              <w:top w:w="75" w:type="dxa"/>
              <w:start w:w="100" w:type="dxa"/>
              <w:bottom w:w="75" w:type="dxa"/>
              <w:end w:w="100" w:type="dxa"/>
            </w:tcMar>
            <w:vAlign w:val="center"/>
          </w:tcPr>
          <w:p>
            <w:pPr>
              <w:spacing w:after="0" w:line="264" w:lineRule="auto"/>
            </w:pPr>
            <w:r>
              <w:rPr>
                <w:sz w:val="17"/>
              </w:rPr>
              <w:t>Every interpretation must name its eligible denominator, matched evidence, and coverage. Coverage is an evidence-sufficiency description, not a confidence interval or probability that an interpretation is true.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Comparison</w:t>
            </w:r>
          </w:p>
        </w:tc>
        <w:tc>
          <w:tcPr>
            <w:tcW w:type="dxa" w:w="7260"/>
            <w:tcMar>
              <w:top w:w="75" w:type="dxa"/>
              <w:start w:w="100" w:type="dxa"/>
              <w:bottom w:w="75" w:type="dxa"/>
              <w:end w:w="100" w:type="dxa"/>
            </w:tcMar>
            <w:vAlign w:val="center"/>
          </w:tcPr>
          <w:p>
            <w:pPr>
              <w:spacing w:after="0" w:line="264" w:lineRule="auto"/>
            </w:pPr>
            <w:r>
              <w:rPr>
                <w:sz w:val="17"/>
              </w:rPr>
              <w:t>Compare Poems applies one shared configuration to two through ten poems, displays poem values side by side, and reports descriptive range where meaningful. Range is not an effect size or significance test.</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VerseMap</w:t>
            </w:r>
          </w:p>
        </w:tc>
        <w:tc>
          <w:tcPr>
            <w:tcW w:type="dxa" w:w="7260"/>
            <w:tcMar>
              <w:top w:w="75" w:type="dxa"/>
              <w:start w:w="100" w:type="dxa"/>
              <w:bottom w:w="75" w:type="dxa"/>
              <w:end w:w="100" w:type="dxa"/>
            </w:tcMar>
            <w:vAlign w:val="center"/>
          </w:tcPr>
          <w:p>
            <w:pPr>
              <w:spacing w:after="0" w:line="264" w:lineRule="auto"/>
            </w:pPr>
            <w:r>
              <w:rPr>
                <w:sz w:val="17"/>
              </w:rPr>
              <w:t>VerseMap Standard Profile 1.0 is fixed, token weighted, stopword excluded for lexical features, content-POS aware, length normalized where required, and sound free. PCA supplies two display axes; neighbors use coverage-aware weighted standardized Euclidean distance in the fuller feature space.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Prosody</w:t>
            </w:r>
          </w:p>
        </w:tc>
        <w:tc>
          <w:tcPr>
            <w:tcW w:type="dxa" w:w="7260"/>
            <w:tcMar>
              <w:top w:w="75" w:type="dxa"/>
              <w:start w:w="100" w:type="dxa"/>
              <w:bottom w:w="75" w:type="dxa"/>
              <w:end w:w="100" w:type="dxa"/>
            </w:tcMar>
            <w:vAlign w:val="center"/>
          </w:tcPr>
          <w:p>
            <w:pPr>
              <w:spacing w:after="0" w:line="264" w:lineRule="auto"/>
            </w:pPr>
            <w:r>
              <w:rPr>
                <w:sz w:val="17"/>
              </w:rPr>
              <w:t>A CMUdict absence remains unmatched. G2P output is provisional and contributes no confirmed sound evidence until approved or edited as a session-only pronunciation override.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Persistence</w:t>
            </w:r>
          </w:p>
        </w:tc>
        <w:tc>
          <w:tcPr>
            <w:tcW w:type="dxa" w:w="7260"/>
            <w:tcMar>
              <w:top w:w="75" w:type="dxa"/>
              <w:start w:w="100" w:type="dxa"/>
              <w:bottom w:w="75" w:type="dxa"/>
              <w:end w:w="100" w:type="dxa"/>
            </w:tcMar>
            <w:vAlign w:val="center"/>
          </w:tcPr>
          <w:p>
            <w:pPr>
              <w:spacing w:after="0" w:line="264" w:lineRule="auto"/>
            </w:pPr>
            <w:r>
              <w:rPr>
                <w:sz w:val="17"/>
              </w:rPr>
              <w:t>Saved analyses require an explicit title and save action. Local projects, personal corpora, profiles, and research libraries persist in ignored private storage; hosted-cloud research storage is session-limited.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Exports</w:t>
            </w:r>
          </w:p>
        </w:tc>
        <w:tc>
          <w:tcPr>
            <w:tcW w:type="dxa" w:w="7260"/>
            <w:tcMar>
              <w:top w:w="75" w:type="dxa"/>
              <w:start w:w="100" w:type="dxa"/>
              <w:bottom w:w="75" w:type="dxa"/>
              <w:end w:w="100" w:type="dxa"/>
            </w:tcMar>
            <w:vAlign w:val="center"/>
          </w:tcPr>
          <w:p>
            <w:pPr>
              <w:spacing w:after="0" w:line="264" w:lineRule="auto"/>
            </w:pPr>
            <w:r>
              <w:rPr>
                <w:sz w:val="17"/>
              </w:rPr>
              <w:t>The interface rounds for readability, while exports preserve calculation precision, settings, resource and software versions, coverage, warnings, and evidence needed for audit. Research notes are excluded by default.</w:t>
            </w:r>
          </w:p>
        </w:tc>
      </w:tr>
    </w:tbl>
    <w:p>
      <w:pPr>
        <w:pStyle w:val="Heading2"/>
      </w:pPr>
      <w:r>
        <w:t>Public-domain practice-text policy</w:t>
      </w:r>
    </w:p>
    <w:p>
      <w:r>
        <w:t>Choose a complete poem whose public-domain status is confirmed for the learner's jurisdiction and whose edition can be cited. Do not reproduce a modern edited version merely because the underlying poem is old. Record source URL or bibliographic citation, access date, and any transcription intervention. Training prompts may name suggested authors or works, but this manual does not reproduce full poems.</w:t>
      </w:r>
    </w:p>
    <w:tbl>
      <w:tblPr>
        <w:tblW w:type="dxa" w:w="9360"/>
        <w:jc w:val="center"/>
        <w:tblLook w:firstColumn="1" w:firstRow="1" w:lastColumn="0" w:lastRow="0" w:noHBand="0" w:noVBand="1" w:val="04A0"/>
        <w:tblLayout w:type="fixed"/>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Caption w:val="Note callout"/>
        <w:tblDescription w:val="Suitable starting points include rights-cleared editions of Blake, Dickinson, Shakespeare, Burns, Poe, Hopkins, and other public-domain authors. Verify the specific edition before use."/>
      </w:tblPr>
      <w:tblGrid>
        <w:gridCol w:w="9360"/>
      </w:tblGrid>
      <w:tr>
        <w:trPr>
          <w:tblHeader w:val="true"/>
        </w:trPr>
        <w:tc>
          <w:tcPr>
            <w:tcW w:type="dxa" w:w="9360"/>
            <w:shd w:fill="E8EEF5"/>
            <w:tcMar>
              <w:top w:w="140" w:type="dxa"/>
              <w:start w:w="160" w:type="dxa"/>
              <w:bottom w:w="140" w:type="dxa"/>
              <w:end w:w="160" w:type="dxa"/>
            </w:tcMar>
          </w:tcPr>
          <w:p>
            <w:pPr>
              <w:spacing w:after="0"/>
            </w:pPr>
            <w:r>
              <w:rPr>
                <w:b/>
                <w:color w:val="2E74B5"/>
              </w:rPr>
              <w:t xml:space="preserve">NOTE: </w:t>
            </w:r>
            <w:r>
              <w:t>Suitable starting points include rights-cleared editions of Blake, Dickinson, Shakespeare, Burns, Poe, Hopkins, and other public-domain authors. Verify the specific edition before use.</w:t>
            </w:r>
          </w:p>
        </w:tc>
      </w:tr>
    </w:tbl>
    <w:p>
      <w:pPr>
        <w:spacing w:after="0"/>
      </w:pPr>
    </w:p>
    <w:p>
      <w:pPr>
        <w:pStyle w:val="Heading2"/>
      </w:pPr>
      <w:r>
        <w:t>Assessment structure</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Course assessment structure"/>
        <w:tblDescription w:val="Conceptual, applied, passing, and credential-administration requirements."/>
      </w:tblPr>
      <w:tblGrid>
        <w:gridCol w:w="4680"/>
        <w:gridCol w:w="4680"/>
      </w:tblGrid>
      <w:tr>
        <w:trPr>
          <w:cantSplit/>
          <w:trHeight w:hRule="atLeast"/>
          <w:tblHeader w:val="true"/>
        </w:trPr>
        <w:tc>
          <w:tcPr>
            <w:tcW w:type="dxa" w:w="2500"/>
            <w:tcMar>
              <w:top w:w="75" w:type="dxa"/>
              <w:start w:w="100" w:type="dxa"/>
              <w:bottom w:w="75" w:type="dxa"/>
              <w:end w:w="100" w:type="dxa"/>
            </w:tcMar>
            <w:vAlign w:val="center"/>
            <w:shd w:fill="E8EEF5"/>
          </w:tcPr>
          <w:p>
            <w:pPr>
              <w:spacing w:after="0" w:line="264" w:lineRule="auto"/>
            </w:pPr>
            <w:r>
              <w:rPr>
                <w:b/>
                <w:color w:val="1F4D78"/>
                <w:sz w:val="17"/>
              </w:rPr>
              <w:t>Component</w:t>
            </w:r>
          </w:p>
        </w:tc>
        <w:tc>
          <w:tcPr>
            <w:tcW w:type="dxa" w:w="6860"/>
            <w:tcMar>
              <w:top w:w="75" w:type="dxa"/>
              <w:start w:w="100" w:type="dxa"/>
              <w:bottom w:w="75" w:type="dxa"/>
              <w:end w:w="100" w:type="dxa"/>
            </w:tcMar>
            <w:vAlign w:val="center"/>
            <w:shd w:fill="E8EEF5"/>
          </w:tcPr>
          <w:p>
            <w:pPr>
              <w:spacing w:after="0" w:line="264" w:lineRule="auto"/>
            </w:pPr>
            <w:r>
              <w:rPr>
                <w:b/>
                <w:color w:val="1F4D78"/>
                <w:sz w:val="17"/>
              </w:rPr>
              <w:t>Requirement</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Conceptual assessment</w:t>
            </w:r>
          </w:p>
        </w:tc>
        <w:tc>
          <w:tcPr>
            <w:tcW w:type="dxa" w:w="6860"/>
            <w:tcMar>
              <w:top w:w="75" w:type="dxa"/>
              <w:start w:w="100" w:type="dxa"/>
              <w:bottom w:w="75" w:type="dxa"/>
              <w:end w:w="100" w:type="dxa"/>
            </w:tcMar>
            <w:vAlign w:val="center"/>
          </w:tcPr>
          <w:p>
            <w:pPr>
              <w:spacing w:after="0" w:line="264" w:lineRule="auto"/>
            </w:pPr>
            <w:r>
              <w:rPr>
                <w:sz w:val="17"/>
              </w:rPr>
              <w:t>36 one-best-answer scenario and method items; 29 correct required.</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Applied assessment</w:t>
            </w:r>
          </w:p>
        </w:tc>
        <w:tc>
          <w:tcPr>
            <w:tcW w:type="dxa" w:w="6860"/>
            <w:tcMar>
              <w:top w:w="75" w:type="dxa"/>
              <w:start w:w="100" w:type="dxa"/>
              <w:bottom w:w="75" w:type="dxa"/>
              <w:end w:w="100" w:type="dxa"/>
            </w:tcMar>
            <w:vAlign w:val="center"/>
          </w:tcPr>
          <w:p>
            <w:pPr>
              <w:spacing w:after="0" w:line="264" w:lineRule="auto"/>
            </w:pPr>
            <w:r>
              <w:rPr>
                <w:sz w:val="17"/>
              </w:rPr>
              <w:t>Reproducible VerseVAD Corpus Study</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Passing rule</w:t>
            </w:r>
          </w:p>
        </w:tc>
        <w:tc>
          <w:tcPr>
            <w:tcW w:type="dxa" w:w="6860"/>
            <w:tcMar>
              <w:top w:w="75" w:type="dxa"/>
              <w:start w:w="100" w:type="dxa"/>
              <w:bottom w:w="75" w:type="dxa"/>
              <w:end w:w="100" w:type="dxa"/>
            </w:tcMar>
            <w:vAlign w:val="center"/>
          </w:tcPr>
          <w:p>
            <w:pPr>
              <w:spacing w:after="0" w:line="264" w:lineRule="auto"/>
            </w:pPr>
            <w:r>
              <w:rPr>
                <w:sz w:val="17"/>
              </w:rPr>
              <w:t>80% overall (29/36), satisfactory corpus practical, and successful defense of every critical methodological choice</w:t>
            </w:r>
          </w:p>
        </w:tc>
      </w:tr>
      <w:tr>
        <w:trPr>
          <w:cantSplit/>
          <w:trHeight w:hRule="atLeast"/>
        </w:trPr>
        <w:tc>
          <w:tcPr>
            <w:tcW w:type="dxa" w:w="2500"/>
            <w:tcMar>
              <w:top w:w="75" w:type="dxa"/>
              <w:start w:w="100" w:type="dxa"/>
              <w:bottom w:w="75" w:type="dxa"/>
              <w:end w:w="100" w:type="dxa"/>
            </w:tcMar>
            <w:vAlign w:val="center"/>
          </w:tcPr>
          <w:p>
            <w:pPr>
              <w:spacing w:after="0" w:line="264" w:lineRule="auto"/>
            </w:pPr>
            <w:r>
              <w:rPr>
                <w:sz w:val="17"/>
              </w:rPr>
              <w:t>Credential boundary</w:t>
            </w:r>
          </w:p>
        </w:tc>
        <w:tc>
          <w:tcPr>
            <w:tcW w:type="dxa" w:w="6860"/>
            <w:tcMar>
              <w:top w:w="75" w:type="dxa"/>
              <w:start w:w="100" w:type="dxa"/>
              <w:bottom w:w="75" w:type="dxa"/>
              <w:end w:w="100" w:type="dxa"/>
            </w:tcMar>
            <w:vAlign w:val="center"/>
          </w:tcPr>
          <w:p>
            <w:pPr>
              <w:spacing w:after="0" w:line="264" w:lineRule="auto"/>
            </w:pPr>
            <w:r>
              <w:rPr>
                <w:sz w:val="17"/>
              </w:rPr>
              <w:t>Course completion records support owner-approved decisions; no certificate or authorization is generated by these documents.</w:t>
            </w:r>
          </w:p>
        </w:tc>
      </w:tr>
    </w:tbl>
    <w:p>
      <w:pPr>
        <w:pStyle w:val="Heading1"/>
      </w:pPr>
      <w:r>
        <w:t>L2.1 · Corpus Design and Research Questions</w:t>
      </w:r>
    </w:p>
    <w:p>
      <w:r>
        <w:rPr>
          <w:b/>
        </w:rPr>
        <w:t xml:space="preserve">Module purpose. </w:t>
      </w:r>
      <w:r>
        <w:t>Construct a corpus whose inclusion logic, comparison structure, and unit of analysis can answer a defined literary-historical question.</w:t>
      </w:r>
    </w:p>
    <w:p>
      <w:pPr>
        <w:pStyle w:val="Heading2"/>
      </w:pPr>
      <w:r>
        <w:t>Learning objectives</w:t>
      </w:r>
    </w:p>
    <w:p>
      <w:pPr>
        <w:pStyle w:val="ListBullet"/>
      </w:pPr>
      <w:r>
        <w:t>Define target population, sampling frame, inclusion criteria, and comparison groups.</w:t>
      </w:r>
    </w:p>
    <w:p>
      <w:pPr>
        <w:pStyle w:val="ListBullet"/>
      </w:pPr>
      <w:r>
        <w:t>Separate work, version, author, collection, and corpus-level units.</w:t>
      </w:r>
    </w:p>
    <w:p>
      <w:pPr>
        <w:pStyle w:val="ListBullet"/>
      </w:pPr>
      <w:r>
        <w:t>Anticipate imbalance, survivorship, digitization, and canon bias.</w:t>
      </w:r>
    </w:p>
    <w:p>
      <w:pPr>
        <w:pStyle w:val="ListBullet"/>
      </w:pPr>
      <w:r>
        <w:t>Write a corpus protocol before examining results.</w:t>
      </w:r>
    </w:p>
    <w:p>
      <w:pPr>
        <w:pStyle w:val="Heading2"/>
      </w:pPr>
      <w:r>
        <w:t>Why this method matters</w:t>
      </w:r>
    </w:p>
    <w:p>
      <w:r>
        <w:t>Construct a corpus whose inclusion logic, comparison structure, and unit of analysis can answer a defined literary-historical question.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**Corpus-level claims cannot be broader than the corpus design and sampling frame support.**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1 core concepts"/>
        <w:tblDescription w:val="Definitions and operational meanings for Corpus Design and Research Questions."/>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Corpus as argument</w:t>
            </w:r>
          </w:p>
        </w:tc>
        <w:tc>
          <w:tcPr>
            <w:tcW w:type="dxa" w:w="7160"/>
            <w:tcMar>
              <w:top w:w="75" w:type="dxa"/>
              <w:start w:w="100" w:type="dxa"/>
              <w:bottom w:w="75" w:type="dxa"/>
              <w:end w:w="100" w:type="dxa"/>
            </w:tcMar>
            <w:vAlign w:val="center"/>
          </w:tcPr>
          <w:p>
            <w:pPr>
              <w:spacing w:after="0" w:line="264" w:lineRule="auto"/>
            </w:pPr>
            <w:r>
              <w:rPr>
                <w:sz w:val="17"/>
              </w:rPr>
              <w:t>A corpus is a methodological claim about what texts belong together and what population the study can address.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Unit of inference</w:t>
            </w:r>
          </w:p>
        </w:tc>
        <w:tc>
          <w:tcPr>
            <w:tcW w:type="dxa" w:w="7160"/>
            <w:tcMar>
              <w:top w:w="75" w:type="dxa"/>
              <w:start w:w="100" w:type="dxa"/>
              <w:bottom w:w="75" w:type="dxa"/>
              <w:end w:w="100" w:type="dxa"/>
            </w:tcMar>
            <w:vAlign w:val="center"/>
          </w:tcPr>
          <w:p>
            <w:pPr>
              <w:spacing w:after="0" w:line="264" w:lineRule="auto"/>
            </w:pPr>
            <w:r>
              <w:rPr>
                <w:sz w:val="17"/>
              </w:rPr>
              <w:t>Poems, lines, tokens, authors, and collections are not interchangeable independent observations.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Comparison design</w:t>
            </w:r>
          </w:p>
        </w:tc>
        <w:tc>
          <w:tcPr>
            <w:tcW w:type="dxa" w:w="7160"/>
            <w:tcMar>
              <w:top w:w="75" w:type="dxa"/>
              <w:start w:w="100" w:type="dxa"/>
              <w:bottom w:w="75" w:type="dxa"/>
              <w:end w:w="100" w:type="dxa"/>
            </w:tcMar>
            <w:vAlign w:val="center"/>
          </w:tcPr>
          <w:p>
            <w:pPr>
              <w:spacing w:after="0" w:line="264" w:lineRule="auto"/>
            </w:pPr>
            <w:r>
              <w:rPr>
                <w:sz w:val="17"/>
              </w:rPr>
              <w:t>A meaningful baseline requires matched rationale, not merely a convenient folder of texts.</w:t>
            </w:r>
          </w:p>
        </w:tc>
      </w:tr>
    </w:tbl>
    <w:p>
      <w:pPr>
        <w:pStyle w:val="Heading2"/>
      </w:pPr>
      <w:r>
        <w:t>Guided VerseVAD workflow</w:t>
      </w:r>
    </w:p>
    <w:p>
      <w:pPr>
        <w:pStyle w:val="ListNumber"/>
      </w:pPr>
      <w:r>
        <w:t>State the research question and intended population.</w:t>
      </w:r>
    </w:p>
    <w:p>
      <w:pPr>
        <w:pStyle w:val="ListNumber"/>
      </w:pPr>
      <w:r>
        <w:t>Define the analytical unit and grouping variables.</w:t>
      </w:r>
    </w:p>
    <w:p>
      <w:pPr>
        <w:pStyle w:val="ListNumber"/>
      </w:pPr>
      <w:r>
        <w:t>Write inclusion, exclusion, date, edition, and duplication rules.</w:t>
      </w:r>
    </w:p>
    <w:p>
      <w:pPr>
        <w:pStyle w:val="ListNumber"/>
      </w:pPr>
      <w:r>
        <w:t>Audit group sizes, text lengths, authorship concentration, and missing metadata.</w:t>
      </w:r>
    </w:p>
    <w:p>
      <w:pPr>
        <w:pStyle w:val="ListNumber"/>
      </w:pPr>
      <w:r>
        <w:t>Predefine descriptive comparisons and close-reading cases.</w:t>
      </w:r>
    </w:p>
    <w:p>
      <w:pPr>
        <w:pStyle w:val="ListNumber"/>
      </w:pPr>
      <w:r>
        <w:t>Freeze and version the protocol before final analysis.</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study compares 'Romantic' and 'Modernist' diction using every poem that happened to be available in two online folders, without edition, date, or author-balance rules."/>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study compares 'Romantic' and 'Modernist' diction using every poem that happened to be available in two online folders, without edition, date, or author-balance rules.</w:t>
            </w:r>
          </w:p>
        </w:tc>
      </w:tr>
    </w:tbl>
    <w:p>
      <w:pPr>
        <w:spacing w:after="0"/>
      </w:pPr>
    </w:p>
    <w:p>
      <w:pPr>
        <w:pStyle w:val="ListBullet"/>
      </w:pPr>
      <w:r>
        <w:t>Identify sampling and population problems.</w:t>
      </w:r>
    </w:p>
    <w:p>
      <w:pPr>
        <w:pStyle w:val="ListBullet"/>
      </w:pPr>
      <w:r>
        <w:t>Rewrite the design with explicit inclusion criteria.</w:t>
      </w:r>
    </w:p>
    <w:p>
      <w:pPr>
        <w:pStyle w:val="ListBullet"/>
      </w:pPr>
      <w:r>
        <w:t>Choose the unit of analysis.</w:t>
      </w:r>
    </w:p>
    <w:p>
      <w:pPr>
        <w:pStyle w:val="ListBullet"/>
      </w:pPr>
      <w:r>
        <w:t>Plan an author-sensitivity check.</w:t>
      </w:r>
    </w:p>
    <w:p>
      <w:pPr>
        <w:pStyle w:val="Heading2"/>
      </w:pPr>
      <w:r>
        <w:t>Interpretation protocol</w:t>
      </w:r>
    </w:p>
    <w:p>
      <w:pPr>
        <w:pStyle w:val="ListNumber"/>
      </w:pPr>
      <w:r>
        <w:t>Limit claims to the sampled and documented population.</w:t>
      </w:r>
    </w:p>
    <w:p>
      <w:pPr>
        <w:pStyle w:val="ListNumber"/>
      </w:pPr>
      <w:r>
        <w:t>Separate corpus composition effects from textual effects.</w:t>
      </w:r>
    </w:p>
    <w:p>
      <w:pPr>
        <w:pStyle w:val="ListNumber"/>
      </w:pPr>
      <w:r>
        <w:t>Report group sizes and length distributions.</w:t>
      </w:r>
    </w:p>
    <w:p>
      <w:pPr>
        <w:pStyle w:val="ListNumber"/>
      </w:pPr>
      <w:r>
        <w:t>Use close reading to examine representative and deviant cases.</w:t>
      </w:r>
    </w:p>
    <w:p>
      <w:r>
        <w:rPr>
          <w:b/>
        </w:rPr>
        <w:t xml:space="preserve">Model decision. </w:t>
      </w:r>
      <w:r>
        <w:t>Define a documented sampling frame, unit of analysis, inclusion rules, group structure, and sensitivity checks before interpreting corpus differences.</w:t>
      </w:r>
    </w:p>
    <w:p>
      <w:pPr>
        <w:pStyle w:val="Heading2"/>
      </w:pPr>
      <w:r>
        <w:t>Limitations and common failure modes</w:t>
      </w:r>
    </w:p>
    <w:p>
      <w:pPr>
        <w:pStyle w:val="ListBullet"/>
      </w:pPr>
      <w:r>
        <w:t>Public-domain availability is not random sampling.</w:t>
      </w:r>
    </w:p>
    <w:p>
      <w:pPr>
        <w:pStyle w:val="ListBullet"/>
      </w:pPr>
      <w:r>
        <w:t>A few prolific authors can dominate pooled token results.</w:t>
      </w:r>
    </w:p>
    <w:p>
      <w:pPr>
        <w:pStyle w:val="ListBullet"/>
      </w:pPr>
      <w:r>
        <w:t>Period and genre labels may be contested or anachronistic.</w:t>
      </w:r>
    </w:p>
    <w:p>
      <w:r>
        <w:rPr>
          <w:b/>
        </w:rPr>
        <w:t xml:space="preserve">Reject these shortcuts: </w:t>
      </w:r>
      <w:r>
        <w:t>Treat any large folder of poems as representative because its token count is high.; Use tokens as independent observations for a claim about authors.; Change inclusion rules after seeing which version produces the desired contrast..</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Corpus-level claims cannot be broader than the corpus design and sampling frame support.</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L2.2 · Corpus Ingestion, Cleaning, and Segmentation</w:t>
      </w:r>
    </w:p>
    <w:p>
      <w:r>
        <w:rPr>
          <w:b/>
        </w:rPr>
        <w:t xml:space="preserve">Module purpose. </w:t>
      </w:r>
      <w:r>
        <w:t>Prepare a versioned UTF-8 plain-text corpus without erasing edition, lineation, stanza, or document boundaries that affect analysis.</w:t>
      </w:r>
    </w:p>
    <w:p>
      <w:pPr>
        <w:pStyle w:val="Heading2"/>
      </w:pPr>
      <w:r>
        <w:t>Learning objectives</w:t>
      </w:r>
    </w:p>
    <w:p>
      <w:pPr>
        <w:pStyle w:val="ListBullet"/>
      </w:pPr>
      <w:r>
        <w:t xml:space="preserve">Apply the current </w:t>
      </w:r>
      <w:r>
        <w:rPr>
          <w:rFonts w:ascii="Consolas" w:hAnsi="Consolas"/>
          <w:color w:val="1F4D78"/>
          <w:sz w:val="19"/>
        </w:rPr>
        <w:t>.txt</w:t>
      </w:r>
      <w:r>
        <w:t>-only ingestion boundary.</w:t>
      </w:r>
    </w:p>
    <w:p>
      <w:pPr>
        <w:pStyle w:val="ListBullet"/>
      </w:pPr>
      <w:r>
        <w:t>Separate source conversion from VerseVAD import.</w:t>
      </w:r>
    </w:p>
    <w:p>
      <w:pPr>
        <w:pStyle w:val="ListBullet"/>
      </w:pPr>
      <w:r>
        <w:t>Detect headers, footers, OCR noise, duplicates, and mixed encodings.</w:t>
      </w:r>
    </w:p>
    <w:p>
      <w:pPr>
        <w:pStyle w:val="ListBullet"/>
      </w:pPr>
      <w:r>
        <w:t>Preserve every cleaned text as a documented version.</w:t>
      </w:r>
    </w:p>
    <w:p>
      <w:pPr>
        <w:pStyle w:val="Heading2"/>
      </w:pPr>
      <w:r>
        <w:t>Why this method matters</w:t>
      </w:r>
    </w:p>
    <w:p>
      <w:r>
        <w:t>Prepare a versioned UTF-8 plain-text corpus without erasing edition, lineation, stanza, or document boundaries that affect analysis.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**Never treat unsupported source conversion or cleaning as an invisible part of VerseVAD analysis.**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2 core concepts"/>
        <w:tblDescription w:val="Definitions and operational meanings for Corpus Ingestion, Cleaning, and Segmentation."/>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Supported import</w:t>
            </w:r>
          </w:p>
        </w:tc>
        <w:tc>
          <w:tcPr>
            <w:tcW w:type="dxa" w:w="7160"/>
            <w:tcMar>
              <w:top w:w="75" w:type="dxa"/>
              <w:start w:w="100" w:type="dxa"/>
              <w:bottom w:w="75" w:type="dxa"/>
              <w:end w:w="100" w:type="dxa"/>
            </w:tcMar>
            <w:vAlign w:val="center"/>
          </w:tcPr>
          <w:p>
            <w:pPr>
              <w:spacing w:after="0" w:line="264" w:lineRule="auto"/>
            </w:pPr>
            <w:r>
              <w:rPr>
                <w:sz w:val="17"/>
              </w:rPr>
              <w:t xml:space="preserve">VerseVAD corpus and reference-corpus workflows accept UTF-8 </w:t>
            </w:r>
            <w:r>
              <w:rPr>
                <w:rFonts w:ascii="Consolas" w:hAnsi="Consolas"/>
                <w:color w:val="1F4D78"/>
                <w:sz w:val="17"/>
              </w:rPr>
              <w:t>.txt</w:t>
            </w:r>
            <w:r>
              <w:rPr>
                <w:sz w:val="17"/>
              </w:rPr>
              <w:t xml:space="preserve"> poems. PDF, EPUB, HTML, and DOCX require external, documented conversion and validation before import.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Segmentation</w:t>
            </w:r>
          </w:p>
        </w:tc>
        <w:tc>
          <w:tcPr>
            <w:tcW w:type="dxa" w:w="7160"/>
            <w:tcMar>
              <w:top w:w="75" w:type="dxa"/>
              <w:start w:w="100" w:type="dxa"/>
              <w:bottom w:w="75" w:type="dxa"/>
              <w:end w:w="100" w:type="dxa"/>
            </w:tcMar>
            <w:vAlign w:val="center"/>
          </w:tcPr>
          <w:p>
            <w:pPr>
              <w:spacing w:after="0" w:line="264" w:lineRule="auto"/>
            </w:pPr>
            <w:r>
              <w:rPr>
                <w:sz w:val="17"/>
              </w:rPr>
              <w:t>Each text file becomes a work; subfolder paths and metadata establish corpus organization while internal blank lines preserve stanzas.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Versioning</w:t>
            </w:r>
          </w:p>
        </w:tc>
        <w:tc>
          <w:tcPr>
            <w:tcW w:type="dxa" w:w="7160"/>
            <w:tcMar>
              <w:top w:w="75" w:type="dxa"/>
              <w:start w:w="100" w:type="dxa"/>
              <w:bottom w:w="75" w:type="dxa"/>
              <w:end w:w="100" w:type="dxa"/>
            </w:tcMar>
            <w:vAlign w:val="center"/>
          </w:tcPr>
          <w:p>
            <w:pPr>
              <w:spacing w:after="0" w:line="264" w:lineRule="auto"/>
            </w:pPr>
            <w:r>
              <w:rPr>
                <w:sz w:val="17"/>
              </w:rPr>
              <w:t>Re-importing changed content creates a preserved version under the same work identity rather than silently overwriting history.</w:t>
            </w:r>
          </w:p>
        </w:tc>
      </w:tr>
    </w:tbl>
    <w:p>
      <w:pPr>
        <w:pStyle w:val="Heading2"/>
      </w:pPr>
      <w:r>
        <w:t>Guided VerseVAD workflow</w:t>
      </w:r>
    </w:p>
    <w:p>
      <w:pPr>
        <w:pStyle w:val="ListNumber"/>
      </w:pPr>
      <w:r>
        <w:t>Inventory source formats, rights, provenance, and encodings.</w:t>
      </w:r>
    </w:p>
    <w:p>
      <w:pPr>
        <w:pStyle w:val="ListNumber"/>
      </w:pPr>
      <w:r>
        <w:t>Convert non-text sources outside VerseVAD and retain the originals separately.</w:t>
      </w:r>
    </w:p>
    <w:p>
      <w:pPr>
        <w:pStyle w:val="ListNumber"/>
      </w:pPr>
      <w:r>
        <w:t>Remove non-poem paratext only under a written rule.</w:t>
      </w:r>
    </w:p>
    <w:p>
      <w:pPr>
        <w:pStyle w:val="ListNumber"/>
      </w:pPr>
      <w:r>
        <w:t>Validate UTF-8, physical lines, blank-line stanzas, and representative punctuation.</w:t>
      </w:r>
    </w:p>
    <w:p>
      <w:pPr>
        <w:pStyle w:val="ListNumber"/>
      </w:pPr>
      <w:r>
        <w:t>Hash and deduplicate exact texts while documenting near-duplicates.</w:t>
      </w:r>
    </w:p>
    <w:p>
      <w:pPr>
        <w:pStyle w:val="ListNumber"/>
      </w:pPr>
      <w:r>
        <w:t xml:space="preserve">Import </w:t>
      </w:r>
      <w:r>
        <w:rPr>
          <w:rFonts w:ascii="Consolas" w:hAnsi="Consolas"/>
          <w:color w:val="1F4D78"/>
          <w:sz w:val="19"/>
        </w:rPr>
        <w:t>.txt</w:t>
      </w:r>
      <w:r>
        <w:t xml:space="preserve"> files and review the resulting work/version inventory.</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researcher copies poems from PDFs into `.txt`, leaves page headers and line-end hyphenation, and assumes VerseVAD will distinguish OCR artifacts from poetic languag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 xml:space="preserve">A researcher copies poems from PDFs into </w:t>
            </w:r>
            <w:r>
              <w:rPr>
                <w:rFonts w:ascii="Consolas" w:hAnsi="Consolas"/>
                <w:color w:val="1F4D78"/>
                <w:sz w:val="19"/>
              </w:rPr>
              <w:t>.txt</w:t>
            </w:r>
            <w:r>
              <w:t>, leaves page headers and line-end hyphenation, and assumes VerseVAD will distinguish OCR artifacts from poetic language.</w:t>
            </w:r>
          </w:p>
        </w:tc>
      </w:tr>
    </w:tbl>
    <w:p>
      <w:pPr>
        <w:spacing w:after="0"/>
      </w:pPr>
    </w:p>
    <w:p>
      <w:pPr>
        <w:pStyle w:val="ListBullet"/>
      </w:pPr>
      <w:r>
        <w:t>Design a cleaning checklist.</w:t>
      </w:r>
    </w:p>
    <w:p>
      <w:pPr>
        <w:pStyle w:val="ListBullet"/>
      </w:pPr>
      <w:r>
        <w:t>Identify which artifacts affect lexical and formal measures.</w:t>
      </w:r>
    </w:p>
    <w:p>
      <w:pPr>
        <w:pStyle w:val="ListBullet"/>
      </w:pPr>
      <w:r>
        <w:t>Explain how to retain provenance and originals.</w:t>
      </w:r>
    </w:p>
    <w:p>
      <w:pPr>
        <w:pStyle w:val="ListBullet"/>
      </w:pPr>
      <w:r>
        <w:t>Specify an acceptance sample before batch import.</w:t>
      </w:r>
    </w:p>
    <w:p>
      <w:pPr>
        <w:pStyle w:val="Heading2"/>
      </w:pPr>
      <w:r>
        <w:t>Interpretation protocol</w:t>
      </w:r>
    </w:p>
    <w:p>
      <w:pPr>
        <w:pStyle w:val="ListNumber"/>
      </w:pPr>
      <w:r>
        <w:t>Treat cleaning decisions as transformations with potential interpretive impact.</w:t>
      </w:r>
    </w:p>
    <w:p>
      <w:pPr>
        <w:pStyle w:val="ListNumber"/>
      </w:pPr>
      <w:r>
        <w:t>Report conversion tools and manual interventions.</w:t>
      </w:r>
    </w:p>
    <w:p>
      <w:pPr>
        <w:pStyle w:val="ListNumber"/>
      </w:pPr>
      <w:r>
        <w:t>Preserve filenames only as labels, not stable identities.</w:t>
      </w:r>
    </w:p>
    <w:p>
      <w:pPr>
        <w:pStyle w:val="ListNumber"/>
      </w:pPr>
      <w:r>
        <w:t>Use hashes and version records to distinguish exact text identity.</w:t>
      </w:r>
    </w:p>
    <w:p>
      <w:r>
        <w:rPr>
          <w:b/>
        </w:rPr>
        <w:t xml:space="preserve">Model decision. </w:t>
      </w:r>
      <w:r>
        <w:t>Convert and validate externally, import only documented UTF-8 `.txt` files, preserve poem structure, and retain source/version provenance for every transformation.</w:t>
      </w:r>
    </w:p>
    <w:p>
      <w:pPr>
        <w:pStyle w:val="Heading2"/>
      </w:pPr>
      <w:r>
        <w:t>Limitations and common failure modes</w:t>
      </w:r>
    </w:p>
    <w:p>
      <w:pPr>
        <w:pStyle w:val="ListBullet"/>
      </w:pPr>
      <w:r>
        <w:t>OCR correction can introduce silent editorial judgment.</w:t>
      </w:r>
    </w:p>
    <w:p>
      <w:pPr>
        <w:pStyle w:val="ListBullet"/>
      </w:pPr>
      <w:r>
        <w:t>Plain text cannot retain every typographic feature of an edition.</w:t>
      </w:r>
    </w:p>
    <w:p>
      <w:pPr>
        <w:pStyle w:val="ListBullet"/>
      </w:pPr>
      <w:r>
        <w:t>Automated deduplication may miss near-identical editorial variants.</w:t>
      </w:r>
    </w:p>
    <w:p>
      <w:r>
        <w:rPr>
          <w:b/>
        </w:rPr>
        <w:t xml:space="preserve">Reject these shortcuts: </w:t>
      </w:r>
      <w:r>
        <w:t>Upload PDFs directly and assume page furniture will be ignored.; Remove line breaks to simplify tokenization.; Overwrite corrected texts so earlier analytical results appear current..</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Never treat unsupported source conversion or cleaning as an invisible part of VerseVAD analysis.</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L2.3 · Persistent Projects and Personal Corpora</w:t>
      </w:r>
    </w:p>
    <w:p>
      <w:r>
        <w:rPr>
          <w:b/>
        </w:rPr>
        <w:t xml:space="preserve">Module purpose. </w:t>
      </w:r>
      <w:r>
        <w:t>Use Saved Projects, Personal Corpus, Reference Corpora, Corpus Browser, and Analysis Library according to their distinct storage and research roles.</w:t>
      </w:r>
    </w:p>
    <w:p>
      <w:pPr>
        <w:pStyle w:val="Heading2"/>
      </w:pPr>
      <w:r>
        <w:t>Learning objectives</w:t>
      </w:r>
    </w:p>
    <w:p>
      <w:pPr>
        <w:pStyle w:val="ListBullet"/>
      </w:pPr>
      <w:r>
        <w:t>Distinguish corpus maintenance from read-only browsing and analytical projects.</w:t>
      </w:r>
    </w:p>
    <w:p>
      <w:pPr>
        <w:pStyle w:val="ListBullet"/>
      </w:pPr>
      <w:r>
        <w:t>Explain immutable completed batches and versioned reanalysis.</w:t>
      </w:r>
    </w:p>
    <w:p>
      <w:pPr>
        <w:pStyle w:val="ListBullet"/>
      </w:pPr>
      <w:r>
        <w:t>Manage metadata, deletions, and backups without exposing private texts.</w:t>
      </w:r>
    </w:p>
    <w:p>
      <w:pPr>
        <w:pStyle w:val="ListBullet"/>
      </w:pPr>
      <w:r>
        <w:t>Recognize local persistence versus hosted-session limits.</w:t>
      </w:r>
    </w:p>
    <w:p>
      <w:pPr>
        <w:pStyle w:val="Heading2"/>
      </w:pPr>
      <w:r>
        <w:t>Why this method matters</w:t>
      </w:r>
    </w:p>
    <w:p>
      <w:r>
        <w:t>Use Saved Projects, Personal Corpus, Reference Corpora, Corpus Browser, and Analysis Library according to their distinct storage and research roles.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**Never assume that private local or hosted-session research data are protected by the public Git repository.**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3 core concepts"/>
        <w:tblDescription w:val="Definitions and operational meanings for Persistent Projects and Personal Corpora."/>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Collections architecture</w:t>
            </w:r>
          </w:p>
        </w:tc>
        <w:tc>
          <w:tcPr>
            <w:tcW w:type="dxa" w:w="7160"/>
            <w:tcMar>
              <w:top w:w="75" w:type="dxa"/>
              <w:start w:w="100" w:type="dxa"/>
              <w:bottom w:w="75" w:type="dxa"/>
              <w:end w:w="100" w:type="dxa"/>
            </w:tcMar>
            <w:vAlign w:val="center"/>
          </w:tcPr>
          <w:p>
            <w:pPr>
              <w:spacing w:after="0" w:line="264" w:lineRule="auto"/>
            </w:pPr>
            <w:r>
              <w:rPr>
                <w:sz w:val="17"/>
              </w:rPr>
              <w:t>Personal Corpus maintains a private personal library; Saved Projects organize research analyses; Reference Corpora manage indexed comparison collections; Corpus Browser inspects available corpora read-only.</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Explicit saves</w:t>
            </w:r>
          </w:p>
        </w:tc>
        <w:tc>
          <w:tcPr>
            <w:tcW w:type="dxa" w:w="7160"/>
            <w:tcMar>
              <w:top w:w="75" w:type="dxa"/>
              <w:start w:w="100" w:type="dxa"/>
              <w:bottom w:w="75" w:type="dxa"/>
              <w:end w:w="100" w:type="dxa"/>
            </w:tcMar>
            <w:vAlign w:val="center"/>
          </w:tcPr>
          <w:p>
            <w:pPr>
              <w:spacing w:after="0" w:line="264" w:lineRule="auto"/>
            </w:pPr>
            <w:r>
              <w:rPr>
                <w:sz w:val="17"/>
              </w:rPr>
              <w:t>Single-text and comparison analyses remain temporary until explicitly saved to Analysis Library or exported.</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Local boundary</w:t>
            </w:r>
          </w:p>
        </w:tc>
        <w:tc>
          <w:tcPr>
            <w:tcW w:type="dxa" w:w="7160"/>
            <w:tcMar>
              <w:top w:w="75" w:type="dxa"/>
              <w:start w:w="100" w:type="dxa"/>
              <w:bottom w:w="75" w:type="dxa"/>
              <w:end w:w="100" w:type="dxa"/>
            </w:tcMar>
            <w:vAlign w:val="center"/>
          </w:tcPr>
          <w:p>
            <w:pPr>
              <w:spacing w:after="0" w:line="264" w:lineRule="auto"/>
            </w:pPr>
            <w:r>
              <w:rPr>
                <w:sz w:val="17"/>
              </w:rPr>
              <w:t>Project databases, personal texts, profiles, notes, and exports are ignored by Git. Hosted storage is not durable and must be downloaded before session end.</w:t>
            </w:r>
          </w:p>
        </w:tc>
      </w:tr>
    </w:tbl>
    <w:p>
      <w:pPr>
        <w:pStyle w:val="Heading2"/>
      </w:pPr>
      <w:r>
        <w:t>Guided VerseVAD workflow</w:t>
      </w:r>
    </w:p>
    <w:p>
      <w:pPr>
        <w:pStyle w:val="ListNumber"/>
      </w:pPr>
      <w:r>
        <w:t>Choose the collection type that matches the research object.</w:t>
      </w:r>
    </w:p>
    <w:p>
      <w:pPr>
        <w:pStyle w:val="ListNumber"/>
      </w:pPr>
      <w:r>
        <w:t>Add texts and metadata through repository-backed controls.</w:t>
      </w:r>
    </w:p>
    <w:p>
      <w:pPr>
        <w:pStyle w:val="ListNumber"/>
      </w:pPr>
      <w:r>
        <w:t>Run analysis as a new immutable batch rather than overwriting a prior result.</w:t>
      </w:r>
    </w:p>
    <w:p>
      <w:pPr>
        <w:pStyle w:val="ListNumber"/>
      </w:pPr>
      <w:r>
        <w:t>Use Corpus Browser for read-only coverage and distribution inspection.</w:t>
      </w:r>
    </w:p>
    <w:p>
      <w:pPr>
        <w:pStyle w:val="ListNumber"/>
      </w:pPr>
      <w:r>
        <w:t>Back up ignored databases and source texts outside the repository.</w:t>
      </w:r>
    </w:p>
    <w:p>
      <w:pPr>
        <w:pStyle w:val="ListNumber"/>
      </w:pPr>
      <w:r>
        <w:t>Document storage location, VerseVAD version, and recovery procedure.</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user assumes that pushing the public repository to GitHub will back up the personal corpus and research notes because the interface displays them after restart."/>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user assumes that pushing the public repository to GitHub will back up the personal corpus and research notes because the interface displays them after restart.</w:t>
            </w:r>
          </w:p>
        </w:tc>
      </w:tr>
    </w:tbl>
    <w:p>
      <w:pPr>
        <w:spacing w:after="0"/>
      </w:pPr>
    </w:p>
    <w:p>
      <w:pPr>
        <w:pStyle w:val="ListBullet"/>
      </w:pPr>
      <w:r>
        <w:t>Explain the ignored local storage boundary.</w:t>
      </w:r>
    </w:p>
    <w:p>
      <w:pPr>
        <w:pStyle w:val="ListBullet"/>
      </w:pPr>
      <w:r>
        <w:t>Design a private backup schedule.</w:t>
      </w:r>
    </w:p>
    <w:p>
      <w:pPr>
        <w:pStyle w:val="ListBullet"/>
      </w:pPr>
      <w:r>
        <w:t>Map four research tasks to the correct Collection workspace.</w:t>
      </w:r>
    </w:p>
    <w:p>
      <w:pPr>
        <w:pStyle w:val="ListBullet"/>
      </w:pPr>
      <w:r>
        <w:t>Describe cloud-session risks.</w:t>
      </w:r>
    </w:p>
    <w:p>
      <w:pPr>
        <w:pStyle w:val="Heading2"/>
      </w:pPr>
      <w:r>
        <w:t>Interpretation protocol</w:t>
      </w:r>
    </w:p>
    <w:p>
      <w:pPr>
        <w:pStyle w:val="ListNumber"/>
      </w:pPr>
      <w:r>
        <w:t>Treat completed runs as historical records.</w:t>
      </w:r>
    </w:p>
    <w:p>
      <w:pPr>
        <w:pStyle w:val="ListNumber"/>
      </w:pPr>
      <w:r>
        <w:t>Distinguish a saved analysis revision from a corpus text version.</w:t>
      </w:r>
    </w:p>
    <w:p>
      <w:pPr>
        <w:pStyle w:val="ListNumber"/>
      </w:pPr>
      <w:r>
        <w:t>Confirm deletion targets by stable object identity and exact-name controls.</w:t>
      </w:r>
    </w:p>
    <w:p>
      <w:pPr>
        <w:pStyle w:val="ListNumber"/>
      </w:pPr>
      <w:r>
        <w:t>Keep source-text privacy choices separate from result retention.</w:t>
      </w:r>
    </w:p>
    <w:p>
      <w:r>
        <w:rPr>
          <w:b/>
        </w:rPr>
        <w:t xml:space="preserve">Model decision. </w:t>
      </w:r>
      <w:r>
        <w:t>Use the appropriate collection workspace, preserve immutable runs and text versions, and maintain a separate private backup for ignored local research data.</w:t>
      </w:r>
    </w:p>
    <w:p>
      <w:pPr>
        <w:pStyle w:val="Heading2"/>
      </w:pPr>
      <w:r>
        <w:t>Limitations and common failure modes</w:t>
      </w:r>
    </w:p>
    <w:p>
      <w:pPr>
        <w:pStyle w:val="ListBullet"/>
      </w:pPr>
      <w:r>
        <w:t>Git ignore prevents accidental version control but is not a backup system.</w:t>
      </w:r>
    </w:p>
    <w:p>
      <w:pPr>
        <w:pStyle w:val="ListBullet"/>
      </w:pPr>
      <w:r>
        <w:t>Session-limited cloud storage can disappear on restart or redeploy.</w:t>
      </w:r>
    </w:p>
    <w:p>
      <w:pPr>
        <w:pStyle w:val="ListBullet"/>
      </w:pPr>
      <w:r>
        <w:t>Results-only saves cannot restore the original text or token audit.</w:t>
      </w:r>
    </w:p>
    <w:p>
      <w:r>
        <w:rPr>
          <w:b/>
        </w:rPr>
        <w:t xml:space="preserve">Reject these shortcuts: </w:t>
      </w:r>
      <w:r>
        <w:t>Store licensed corpora in the public source tree so Git can back them up.; Use Corpus Browser to edit source texts directly.; Silently recalculate every saved historical analysis on open..</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Never assume that private local or hosted-session research data are protected by the public Git repository.</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L2.4 · Descriptive Statistics for Literary Corpora</w:t>
      </w:r>
    </w:p>
    <w:p>
      <w:r>
        <w:rPr>
          <w:b/>
        </w:rPr>
        <w:t xml:space="preserve">Module purpose. </w:t>
      </w:r>
      <w:r>
        <w:t>Select and interpret means, medians, standard deviations, ranges, quartiles, coverage summaries, and work-level distributions with correct units.</w:t>
      </w:r>
    </w:p>
    <w:p>
      <w:pPr>
        <w:pStyle w:val="Heading2"/>
      </w:pPr>
      <w:r>
        <w:t>Learning objectives</w:t>
      </w:r>
    </w:p>
    <w:p>
      <w:pPr>
        <w:pStyle w:val="ListBullet"/>
      </w:pPr>
      <w:r>
        <w:t>Distinguish within-work dispersion from across-work dispersion.</w:t>
      </w:r>
    </w:p>
    <w:p>
      <w:pPr>
        <w:pStyle w:val="ListBullet"/>
      </w:pPr>
      <w:r>
        <w:t>Choose mean or median according to distribution and research purpose.</w:t>
      </w:r>
    </w:p>
    <w:p>
      <w:pPr>
        <w:pStyle w:val="ListBullet"/>
      </w:pPr>
      <w:r>
        <w:t>Report range and quartiles without treating them as inferential tests.</w:t>
      </w:r>
    </w:p>
    <w:p>
      <w:pPr>
        <w:pStyle w:val="ListBullet"/>
      </w:pPr>
      <w:r>
        <w:t>Inspect missingness and coverage distributions across works.</w:t>
      </w:r>
    </w:p>
    <w:p>
      <w:pPr>
        <w:pStyle w:val="Heading2"/>
      </w:pPr>
      <w:r>
        <w:t>Why this method matters</w:t>
      </w:r>
    </w:p>
    <w:p>
      <w:r>
        <w:t>Select and interpret means, medians, standard deviations, ranges, quartiles, coverage summaries, and work-level distributions with correct units.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**Always identify whether a statistic describes observations within poems, poems within a corpus, or uncertainty from an inferential model.**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4 core concepts"/>
        <w:tblDescription w:val="Definitions and operational meanings for Descriptive Statistics for Literary Corpora."/>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Levels of variation</w:t>
            </w:r>
          </w:p>
        </w:tc>
        <w:tc>
          <w:tcPr>
            <w:tcW w:type="dxa" w:w="7160"/>
            <w:tcMar>
              <w:top w:w="75" w:type="dxa"/>
              <w:start w:w="100" w:type="dxa"/>
              <w:bottom w:w="75" w:type="dxa"/>
              <w:end w:w="100" w:type="dxa"/>
            </w:tcMar>
            <w:vAlign w:val="center"/>
          </w:tcPr>
          <w:p>
            <w:pPr>
              <w:spacing w:after="0" w:line="264" w:lineRule="auto"/>
            </w:pPr>
            <w:r>
              <w:rPr>
                <w:sz w:val="17"/>
              </w:rPr>
              <w:t>Token-rating variation inside a poem, poem-level variation inside a corpus, and uncertainty about a population parameter are different concepts.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Robust summaries</w:t>
            </w:r>
          </w:p>
        </w:tc>
        <w:tc>
          <w:tcPr>
            <w:tcW w:type="dxa" w:w="7160"/>
            <w:tcMar>
              <w:top w:w="75" w:type="dxa"/>
              <w:start w:w="100" w:type="dxa"/>
              <w:bottom w:w="75" w:type="dxa"/>
              <w:end w:w="100" w:type="dxa"/>
            </w:tcMar>
            <w:vAlign w:val="center"/>
          </w:tcPr>
          <w:p>
            <w:pPr>
              <w:spacing w:after="0" w:line="264" w:lineRule="auto"/>
            </w:pPr>
            <w:r>
              <w:rPr>
                <w:sz w:val="17"/>
              </w:rPr>
              <w:t>Medians and quartiles can reveal skew or outliers that a mean alone hides; standard deviation remains scale dependent.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Coverage distribution</w:t>
            </w:r>
          </w:p>
        </w:tc>
        <w:tc>
          <w:tcPr>
            <w:tcW w:type="dxa" w:w="7160"/>
            <w:tcMar>
              <w:top w:w="75" w:type="dxa"/>
              <w:start w:w="100" w:type="dxa"/>
              <w:bottom w:w="75" w:type="dxa"/>
              <w:end w:w="100" w:type="dxa"/>
            </w:tcMar>
            <w:vAlign w:val="center"/>
          </w:tcPr>
          <w:p>
            <w:pPr>
              <w:spacing w:after="0" w:line="264" w:lineRule="auto"/>
            </w:pPr>
            <w:r>
              <w:rPr>
                <w:sz w:val="17"/>
              </w:rPr>
              <w:t>A corpus average can conceal a subset of works with weak evidence, so work-level coverage should be summarized and inspected.</w:t>
            </w:r>
          </w:p>
        </w:tc>
      </w:tr>
    </w:tbl>
    <w:p>
      <w:pPr>
        <w:pStyle w:val="Heading2"/>
      </w:pPr>
      <w:r>
        <w:t>Guided VerseVAD workflow</w:t>
      </w:r>
    </w:p>
    <w:p>
      <w:pPr>
        <w:pStyle w:val="ListNumber"/>
      </w:pPr>
      <w:r>
        <w:t>Define the work-level statistic before aggregating.</w:t>
      </w:r>
    </w:p>
    <w:p>
      <w:pPr>
        <w:pStyle w:val="ListNumber"/>
      </w:pPr>
      <w:r>
        <w:t>Inspect counts, missingness, coverage, and distribution shape.</w:t>
      </w:r>
    </w:p>
    <w:p>
      <w:pPr>
        <w:pStyle w:val="ListNumber"/>
      </w:pPr>
      <w:r>
        <w:t>Report mean and standard deviation when symmetric summaries are useful.</w:t>
      </w:r>
    </w:p>
    <w:p>
      <w:pPr>
        <w:pStyle w:val="ListNumber"/>
      </w:pPr>
      <w:r>
        <w:t>Add median, quartiles, range, and individual works when skew or outliers matter.</w:t>
      </w:r>
    </w:p>
    <w:p>
      <w:pPr>
        <w:pStyle w:val="ListNumber"/>
      </w:pPr>
      <w:r>
        <w:t>Separate equal-work from observation-weighted summaries.</w:t>
      </w:r>
    </w:p>
    <w:p>
      <w:pPr>
        <w:pStyle w:val="ListNumber"/>
      </w:pPr>
      <w:r>
        <w:t>Select characteristic and deviant works for close reading.</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corpus mean is reported with a small standard deviation, but half the poems have low lexical coverage and the longest poem contributes most matched tokens."/>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corpus mean is reported with a small standard deviation, but half the poems have low lexical coverage and the longest poem contributes most matched tokens.</w:t>
            </w:r>
          </w:p>
        </w:tc>
      </w:tr>
    </w:tbl>
    <w:p>
      <w:pPr>
        <w:spacing w:after="0"/>
      </w:pPr>
    </w:p>
    <w:p>
      <w:pPr>
        <w:pStyle w:val="ListBullet"/>
      </w:pPr>
      <w:r>
        <w:t>Identify the hidden aggregation and coverage problems.</w:t>
      </w:r>
    </w:p>
    <w:p>
      <w:pPr>
        <w:pStyle w:val="ListBullet"/>
      </w:pPr>
      <w:r>
        <w:t>Choose an equal-work summary and coverage table.</w:t>
      </w:r>
    </w:p>
    <w:p>
      <w:pPr>
        <w:pStyle w:val="ListBullet"/>
      </w:pPr>
      <w:r>
        <w:t>Explain which standard deviation is being reported.</w:t>
      </w:r>
    </w:p>
    <w:p>
      <w:pPr>
        <w:pStyle w:val="ListBullet"/>
      </w:pPr>
      <w:r>
        <w:t>Plan an outlier inspection.</w:t>
      </w:r>
    </w:p>
    <w:p>
      <w:pPr>
        <w:pStyle w:val="Heading2"/>
      </w:pPr>
      <w:r>
        <w:t>Interpretation protocol</w:t>
      </w:r>
    </w:p>
    <w:p>
      <w:pPr>
        <w:pStyle w:val="ListNumber"/>
      </w:pPr>
      <w:r>
        <w:t>Name the aggregation level in every statistic.</w:t>
      </w:r>
    </w:p>
    <w:p>
      <w:pPr>
        <w:pStyle w:val="ListNumber"/>
      </w:pPr>
      <w:r>
        <w:t>Keep missing values out of numeric summaries rather than coding them as zero.</w:t>
      </w:r>
    </w:p>
    <w:p>
      <w:pPr>
        <w:pStyle w:val="ListNumber"/>
      </w:pPr>
      <w:r>
        <w:t>Report sample composition alongside the center.</w:t>
      </w:r>
    </w:p>
    <w:p>
      <w:pPr>
        <w:pStyle w:val="ListNumber"/>
      </w:pPr>
      <w:r>
        <w:t>Use charts to show distributions, not merely decorate means.</w:t>
      </w:r>
    </w:p>
    <w:p>
      <w:r>
        <w:rPr>
          <w:b/>
        </w:rPr>
        <w:t xml:space="preserve">Model decision. </w:t>
      </w:r>
      <w:r>
        <w:t>Summarize work-level values and coverage distributions, separate aggregation schemes, and inspect individual outliers before interpreting the corpus center.</w:t>
      </w:r>
    </w:p>
    <w:p>
      <w:pPr>
        <w:pStyle w:val="Heading2"/>
      </w:pPr>
      <w:r>
        <w:t>Limitations and common failure modes</w:t>
      </w:r>
    </w:p>
    <w:p>
      <w:pPr>
        <w:pStyle w:val="ListBullet"/>
      </w:pPr>
      <w:r>
        <w:t>Averages can erase multimodality and subgroup structure.</w:t>
      </w:r>
    </w:p>
    <w:p>
      <w:pPr>
        <w:pStyle w:val="ListBullet"/>
      </w:pPr>
      <w:r>
        <w:t>Standard deviation is not robust to extreme outliers.</w:t>
      </w:r>
    </w:p>
    <w:p>
      <w:pPr>
        <w:pStyle w:val="ListBullet"/>
      </w:pPr>
      <w:r>
        <w:t>Coverage-driven missingness may be systematic rather than random.</w:t>
      </w:r>
    </w:p>
    <w:p>
      <w:r>
        <w:rPr>
          <w:b/>
        </w:rPr>
        <w:t xml:space="preserve">Reject these shortcuts: </w:t>
      </w:r>
      <w:r>
        <w:t>Treat all standard deviations as confidence in the corpus mean.; Replace missing poem values with zero to keep sample size constant.; Let the longest poem define the corpus without disclosing token weighting..</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Always identify whether a statistic describes observations within poems, poems within a corpus, or uncertainty from an inferential model.</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L2.5 · Standardization, Z-Scores, and Comparative Baselines</w:t>
      </w:r>
    </w:p>
    <w:p>
      <w:r>
        <w:rPr>
          <w:b/>
        </w:rPr>
        <w:t xml:space="preserve">Module purpose. </w:t>
      </w:r>
      <w:r>
        <w:t>Use standardized feature values and approximate percentiles to compare dimensions while preserving their reference dependence and descriptive status.</w:t>
      </w:r>
    </w:p>
    <w:p>
      <w:pPr>
        <w:pStyle w:val="Heading2"/>
      </w:pPr>
      <w:r>
        <w:t>Learning objectives</w:t>
      </w:r>
    </w:p>
    <w:p>
      <w:pPr>
        <w:pStyle w:val="ListBullet"/>
      </w:pPr>
      <w:r>
        <w:t>Calculate and interpret a z-score from a declared reference mean and standard deviation.</w:t>
      </w:r>
    </w:p>
    <w:p>
      <w:pPr>
        <w:pStyle w:val="ListBullet"/>
      </w:pPr>
      <w:r>
        <w:t>Explain why z-scores are reference-distribution dependent.</w:t>
      </w:r>
    </w:p>
    <w:p>
      <w:pPr>
        <w:pStyle w:val="ListBullet"/>
      </w:pPr>
      <w:r>
        <w:t>Distinguish approximate percentiles from exact empirical ranks.</w:t>
      </w:r>
    </w:p>
    <w:p>
      <w:pPr>
        <w:pStyle w:val="ListBullet"/>
      </w:pPr>
      <w:r>
        <w:t>Avoid combining unstable or weak-coverage dimensions.</w:t>
      </w:r>
    </w:p>
    <w:p>
      <w:pPr>
        <w:pStyle w:val="Heading2"/>
      </w:pPr>
      <w:r>
        <w:t>Why this method matters</w:t>
      </w:r>
    </w:p>
    <w:p>
      <w:r>
        <w:t>Use standardized feature values and approximate percentiles to compare dimensions while preserving their reference dependence and descriptive status.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 z-score of zero means equal to the selected reference mean; it does not mean absence, neutrality, or universal normality.**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5 core concepts"/>
        <w:tblDescription w:val="Definitions and operational meanings for Standardization, Z-Scores, and Comparative Baselines."/>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Z-score</w:t>
            </w:r>
          </w:p>
        </w:tc>
        <w:tc>
          <w:tcPr>
            <w:tcW w:type="dxa" w:w="7160"/>
            <w:tcMar>
              <w:top w:w="75" w:type="dxa"/>
              <w:start w:w="100" w:type="dxa"/>
              <w:bottom w:w="75" w:type="dxa"/>
              <w:end w:w="100" w:type="dxa"/>
            </w:tcMar>
            <w:vAlign w:val="center"/>
          </w:tcPr>
          <w:p>
            <w:pPr>
              <w:spacing w:after="0" w:line="264" w:lineRule="auto"/>
            </w:pPr>
            <w:r>
              <w:rPr>
                <w:sz w:val="17"/>
              </w:rPr>
              <w:t>A z-score is the observed value minus the reference mean, divided by the reference standard deviation; zero means the reference mean, not neutrality.</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Approximate percentile</w:t>
            </w:r>
          </w:p>
        </w:tc>
        <w:tc>
          <w:tcPr>
            <w:tcW w:type="dxa" w:w="7160"/>
            <w:tcMar>
              <w:top w:w="75" w:type="dxa"/>
              <w:start w:w="100" w:type="dxa"/>
              <w:bottom w:w="75" w:type="dxa"/>
              <w:end w:w="100" w:type="dxa"/>
            </w:tcMar>
            <w:vAlign w:val="center"/>
          </w:tcPr>
          <w:p>
            <w:pPr>
              <w:spacing w:after="0" w:line="264" w:lineRule="auto"/>
            </w:pPr>
            <w:r>
              <w:rPr>
                <w:sz w:val="17"/>
              </w:rPr>
              <w:t>VerseMap can report an orientation percentile derived from standardized evidence. It is not a universal literary ranking.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Baseline choice</w:t>
            </w:r>
          </w:p>
        </w:tc>
        <w:tc>
          <w:tcPr>
            <w:tcW w:type="dxa" w:w="7160"/>
            <w:tcMar>
              <w:top w:w="75" w:type="dxa"/>
              <w:start w:w="100" w:type="dxa"/>
              <w:bottom w:w="75" w:type="dxa"/>
              <w:end w:w="100" w:type="dxa"/>
            </w:tcMar>
            <w:vAlign w:val="center"/>
          </w:tcPr>
          <w:p>
            <w:pPr>
              <w:spacing w:after="0" w:line="264" w:lineRule="auto"/>
            </w:pPr>
            <w:r>
              <w:rPr>
                <w:sz w:val="17"/>
              </w:rPr>
              <w:t>Built-in, user-supplied, project, and personal baselines answer different comparative questions and must be named.</w:t>
            </w:r>
          </w:p>
        </w:tc>
      </w:tr>
    </w:tbl>
    <w:p>
      <w:pPr>
        <w:pStyle w:val="Heading2"/>
      </w:pPr>
      <w:r>
        <w:t>Guided VerseVAD workflow</w:t>
      </w:r>
    </w:p>
    <w:p>
      <w:pPr>
        <w:pStyle w:val="ListNumber"/>
      </w:pPr>
      <w:r>
        <w:t>Select a reference corpus justified by the research question.</w:t>
      </w:r>
    </w:p>
    <w:p>
      <w:pPr>
        <w:pStyle w:val="ListNumber"/>
      </w:pPr>
      <w:r>
        <w:t>Verify feature definition, scale, and coverage alignment.</w:t>
      </w:r>
    </w:p>
    <w:p>
      <w:pPr>
        <w:pStyle w:val="ListNumber"/>
      </w:pPr>
      <w:r>
        <w:t>Inspect reference mean, standard deviation, and sample size.</w:t>
      </w:r>
    </w:p>
    <w:p>
      <w:pPr>
        <w:pStyle w:val="ListNumber"/>
      </w:pPr>
      <w:r>
        <w:t>Interpret sign and magnitude in the original metric's direction.</w:t>
      </w:r>
    </w:p>
    <w:p>
      <w:pPr>
        <w:pStyle w:val="ListNumber"/>
      </w:pPr>
      <w:r>
        <w:t>Check sensitivity to alternate defensible baselines.</w:t>
      </w:r>
    </w:p>
    <w:p>
      <w:pPr>
        <w:pStyle w:val="ListNumber"/>
      </w:pPr>
      <w:r>
        <w:t>Report raw values beside standardized summaries.</w:t>
      </w:r>
    </w:p>
    <w:p>
      <w:pPr>
        <w:keepNext/>
        <w:jc w:val="center"/>
      </w:pPr>
      <w:r/>
    </w:p>
    <w:p>
      <w:pPr>
        <w:pStyle w:val="Caption"/>
        <w:jc w:val="center"/>
      </w:pPr>
      <w:r>
        <w:t>Figure 1. Standardized VerseMap evidence remains tied to a named reference profile and coverage.</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poem has a valence z-score of 0.0 against a selected corpus. The report describes it as emotionally neutral in an absolute sens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poem has a valence z-score of 0.0 against a selected corpus. The report describes it as emotionally neutral in an absolute sense.</w:t>
            </w:r>
          </w:p>
        </w:tc>
      </w:tr>
    </w:tbl>
    <w:p>
      <w:pPr>
        <w:spacing w:after="0"/>
      </w:pPr>
    </w:p>
    <w:p>
      <w:pPr>
        <w:pStyle w:val="ListBullet"/>
      </w:pPr>
      <w:r>
        <w:t>Correct the interpretation of zero.</w:t>
      </w:r>
    </w:p>
    <w:p>
      <w:pPr>
        <w:pStyle w:val="ListBullet"/>
      </w:pPr>
      <w:r>
        <w:t>Identify the baseline information needed.</w:t>
      </w:r>
    </w:p>
    <w:p>
      <w:pPr>
        <w:pStyle w:val="ListBullet"/>
      </w:pPr>
      <w:r>
        <w:t>Explain why raw valence should remain visible.</w:t>
      </w:r>
    </w:p>
    <w:p>
      <w:pPr>
        <w:pStyle w:val="ListBullet"/>
      </w:pPr>
      <w:r>
        <w:t>Plan a baseline-sensitivity comparison.</w:t>
      </w:r>
    </w:p>
    <w:p>
      <w:pPr>
        <w:pStyle w:val="Heading2"/>
      </w:pPr>
      <w:r>
        <w:t>Interpretation protocol</w:t>
      </w:r>
    </w:p>
    <w:p>
      <w:pPr>
        <w:pStyle w:val="ListNumber"/>
      </w:pPr>
      <w:r>
        <w:t>Translate standardized direction back to the metric.</w:t>
      </w:r>
    </w:p>
    <w:p>
      <w:pPr>
        <w:pStyle w:val="ListNumber"/>
      </w:pPr>
      <w:r>
        <w:t>Name the reference population and release.</w:t>
      </w:r>
    </w:p>
    <w:p>
      <w:pPr>
        <w:pStyle w:val="ListNumber"/>
      </w:pPr>
      <w:r>
        <w:t>Avoid universal adjectives such as normal or deviant.</w:t>
      </w:r>
    </w:p>
    <w:p>
      <w:pPr>
        <w:pStyle w:val="ListNumber"/>
      </w:pPr>
      <w:r>
        <w:t>Treat small reference standard deviations cautiously.</w:t>
      </w:r>
    </w:p>
    <w:p>
      <w:r>
        <w:rPr>
          <w:b/>
        </w:rPr>
        <w:t xml:space="preserve">Model decision. </w:t>
      </w:r>
      <w:r>
        <w:t>Describe the score as average relative to the named reference distribution, retain the raw value, and test whether the interpretation changes under another justified baseline.</w:t>
      </w:r>
    </w:p>
    <w:p>
      <w:pPr>
        <w:pStyle w:val="Heading2"/>
      </w:pPr>
      <w:r>
        <w:t>Limitations and common failure modes</w:t>
      </w:r>
    </w:p>
    <w:p>
      <w:pPr>
        <w:pStyle w:val="ListBullet"/>
      </w:pPr>
      <w:r>
        <w:t>Non-normal distributions can make rule-of-thumb z interpretations misleading.</w:t>
      </w:r>
    </w:p>
    <w:p>
      <w:pPr>
        <w:pStyle w:val="ListBullet"/>
      </w:pPr>
      <w:r>
        <w:t>Small or homogeneous reference corpora yield unstable standardization.</w:t>
      </w:r>
    </w:p>
    <w:p>
      <w:pPr>
        <w:pStyle w:val="ListBullet"/>
      </w:pPr>
      <w:r>
        <w:t>A percentile can change substantially when the corpus changes.</w:t>
      </w:r>
    </w:p>
    <w:p>
      <w:r>
        <w:rPr>
          <w:b/>
        </w:rPr>
        <w:t xml:space="preserve">Reject these shortcuts: </w:t>
      </w:r>
      <w:r>
        <w:t>Interpret every positive z-score as aesthetically better.; Compare z-scores produced from unrelated reference corpora without naming them.; Report a percentile as the percentage of the poem possessing a feature..</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 z-score of zero means equal to the selected reference mean; it does not mean absence, neutrality, or universal normality.</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L2.6 · VerseMap Methodology and Similarity</w:t>
      </w:r>
    </w:p>
    <w:p>
      <w:r>
        <w:rPr>
          <w:b/>
        </w:rPr>
        <w:t xml:space="preserve">Module purpose. </w:t>
      </w:r>
      <w:r>
        <w:t>Evaluate VerseMap feature construction, standardization, PCA, shared-weight coverage, poem neighbors, poet centroids, and reference-corpus updates.</w:t>
      </w:r>
    </w:p>
    <w:p>
      <w:pPr>
        <w:pStyle w:val="Heading2"/>
      </w:pPr>
      <w:r>
        <w:t>Learning objectives</w:t>
      </w:r>
    </w:p>
    <w:p>
      <w:pPr>
        <w:pStyle w:val="ListBullet"/>
      </w:pPr>
      <w:r>
        <w:t>Describe the fixed Standard Profile feature registry and exclusions.</w:t>
      </w:r>
    </w:p>
    <w:p>
      <w:pPr>
        <w:pStyle w:val="ListBullet"/>
      </w:pPr>
      <w:r>
        <w:t>Distinguish PCA display space from full feature-space distance.</w:t>
      </w:r>
    </w:p>
    <w:p>
      <w:pPr>
        <w:pStyle w:val="ListBullet"/>
      </w:pPr>
      <w:r>
        <w:t>Interpret the minimum shared-weight rule.</w:t>
      </w:r>
    </w:p>
    <w:p>
      <w:pPr>
        <w:pStyle w:val="ListBullet"/>
      </w:pPr>
      <w:r>
        <w:t>Build or refresh an indexed private reference corpus reproducibly.</w:t>
      </w:r>
    </w:p>
    <w:p>
      <w:pPr>
        <w:pStyle w:val="Heading2"/>
      </w:pPr>
      <w:r>
        <w:t>Why this method matters</w:t>
      </w:r>
    </w:p>
    <w:p>
      <w:r>
        <w:t>Evaluate VerseMap feature construction, standardization, PCA, shared-weight coverage, poem neighbors, poet centroids, and reference-corpus updates.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**Do not interpret a VerseMap neighbor or poet centroid when shared feature evidence or reference representation is insufficient.**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6 core concepts"/>
        <w:tblDescription w:val="Definitions and operational meanings for VerseMap Methodology and Similarity."/>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Feature profile</w:t>
            </w:r>
          </w:p>
        </w:tc>
        <w:tc>
          <w:tcPr>
            <w:tcW w:type="dxa" w:w="7160"/>
            <w:tcMar>
              <w:top w:w="75" w:type="dxa"/>
              <w:start w:w="100" w:type="dxa"/>
              <w:bottom w:w="75" w:type="dxa"/>
              <w:end w:w="100" w:type="dxa"/>
            </w:tcMar>
            <w:vAlign w:val="center"/>
          </w:tcPr>
          <w:p>
            <w:pPr>
              <w:spacing w:after="0" w:line="264" w:lineRule="auto"/>
            </w:pPr>
            <w:r>
              <w:rPr>
                <w:sz w:val="17"/>
              </w:rPr>
              <w:t>The profile combines selected VAD, emotion, concreteness, frequency, AoA, diversity, POS, word-length, and structural features under fixed processing rules; sound features are excluded.</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Coverage-aware distance</w:t>
            </w:r>
          </w:p>
        </w:tc>
        <w:tc>
          <w:tcPr>
            <w:tcW w:type="dxa" w:w="7160"/>
            <w:tcMar>
              <w:top w:w="75" w:type="dxa"/>
              <w:start w:w="100" w:type="dxa"/>
              <w:bottom w:w="75" w:type="dxa"/>
              <w:end w:w="100" w:type="dxa"/>
            </w:tcMar>
            <w:vAlign w:val="center"/>
          </w:tcPr>
          <w:p>
            <w:pPr>
              <w:spacing w:after="0" w:line="264" w:lineRule="auto"/>
            </w:pPr>
            <w:r>
              <w:rPr>
                <w:sz w:val="17"/>
              </w:rPr>
              <w:t>Dimensions present for both points contribute according to documented weights, and insufficient shared weight prevents overconfident neighbor claims.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Centroids</w:t>
            </w:r>
          </w:p>
        </w:tc>
        <w:tc>
          <w:tcPr>
            <w:tcW w:type="dxa" w:w="7160"/>
            <w:tcMar>
              <w:top w:w="75" w:type="dxa"/>
              <w:start w:w="100" w:type="dxa"/>
              <w:bottom w:w="75" w:type="dxa"/>
              <w:end w:w="100" w:type="dxa"/>
            </w:tcMar>
            <w:vAlign w:val="center"/>
          </w:tcPr>
          <w:p>
            <w:pPr>
              <w:spacing w:after="0" w:line="264" w:lineRule="auto"/>
            </w:pPr>
            <w:r>
              <w:rPr>
                <w:sz w:val="17"/>
              </w:rPr>
              <w:t>A poet centroid is a summary of indexed poem profiles, not a complete model of an author's style or a claim about authorship.</w:t>
            </w:r>
          </w:p>
        </w:tc>
      </w:tr>
    </w:tbl>
    <w:p>
      <w:pPr>
        <w:pStyle w:val="Heading2"/>
      </w:pPr>
      <w:r>
        <w:t>Guided VerseVAD workflow</w:t>
      </w:r>
    </w:p>
    <w:p>
      <w:pPr>
        <w:pStyle w:val="ListNumber"/>
      </w:pPr>
      <w:r>
        <w:t xml:space="preserve">Validate one-folder-per-poet UTF-8 </w:t>
      </w:r>
      <w:r>
        <w:rPr>
          <w:rFonts w:ascii="Consolas" w:hAnsi="Consolas"/>
          <w:color w:val="1F4D78"/>
          <w:sz w:val="19"/>
        </w:rPr>
        <w:t>.txt</w:t>
      </w:r>
      <w:r>
        <w:t xml:space="preserve"> corpus structure.</w:t>
      </w:r>
    </w:p>
    <w:p>
      <w:pPr>
        <w:pStyle w:val="ListNumber"/>
      </w:pPr>
      <w:r>
        <w:t>Run the reference updater and retain manifest, source checksums, model release, and feature statistics.</w:t>
      </w:r>
    </w:p>
    <w:p>
      <w:pPr>
        <w:pStyle w:val="ListNumber"/>
      </w:pPr>
      <w:r>
        <w:t>Inspect excluded or low-coverage poems before release.</w:t>
      </w:r>
    </w:p>
    <w:p>
      <w:pPr>
        <w:pStyle w:val="ListNumber"/>
      </w:pPr>
      <w:r>
        <w:t>Read target raw, standardized, and coverage evidence.</w:t>
      </w:r>
    </w:p>
    <w:p>
      <w:pPr>
        <w:pStyle w:val="ListNumber"/>
      </w:pPr>
      <w:r>
        <w:t>Compare PCA display and full-space neighbors deliberately.</w:t>
      </w:r>
    </w:p>
    <w:p>
      <w:pPr>
        <w:pStyle w:val="ListNumber"/>
      </w:pPr>
      <w:r>
        <w:t>Version and commit only corpora whose rights and redistribution status are documented.</w:t>
      </w:r>
    </w:p>
    <w:p>
      <w:pPr>
        <w:keepNext/>
        <w:jc w:val="center"/>
      </w:pPr>
      <w:r/>
    </w:p>
    <w:p>
      <w:pPr>
        <w:pStyle w:val="Caption"/>
        <w:jc w:val="center"/>
      </w:pPr>
      <w:r>
        <w:t>Figure 2. PCA display coordinates and full-space neighbors answer related but different questions.</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newly added poet has only two very short poems with sparse AoA and concreteness coverage. Their centroid becomes the nearest poet for several targets."/>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newly added poet has only two very short poems with sparse AoA and concreteness coverage. Their centroid becomes the nearest poet for several targets.</w:t>
            </w:r>
          </w:p>
        </w:tc>
      </w:tr>
    </w:tbl>
    <w:p>
      <w:pPr>
        <w:spacing w:after="0"/>
      </w:pPr>
    </w:p>
    <w:p>
      <w:pPr>
        <w:pStyle w:val="ListBullet"/>
      </w:pPr>
      <w:r>
        <w:t>Identify centroid stability and coverage concerns.</w:t>
      </w:r>
    </w:p>
    <w:p>
      <w:pPr>
        <w:pStyle w:val="ListBullet"/>
      </w:pPr>
      <w:r>
        <w:t>Design an inclusion threshold and review note.</w:t>
      </w:r>
    </w:p>
    <w:p>
      <w:pPr>
        <w:pStyle w:val="ListBullet"/>
      </w:pPr>
      <w:r>
        <w:t>Explain why the PCA plot alone cannot validate the centroid.</w:t>
      </w:r>
    </w:p>
    <w:p>
      <w:pPr>
        <w:pStyle w:val="ListBullet"/>
      </w:pPr>
      <w:r>
        <w:t>Plan release metadata for the updated index.</w:t>
      </w:r>
    </w:p>
    <w:p>
      <w:pPr>
        <w:pStyle w:val="Heading2"/>
      </w:pPr>
      <w:r>
        <w:t>Interpretation protocol</w:t>
      </w:r>
    </w:p>
    <w:p>
      <w:pPr>
        <w:pStyle w:val="ListNumber"/>
      </w:pPr>
      <w:r>
        <w:t>Name reference release and profile version.</w:t>
      </w:r>
    </w:p>
    <w:p>
      <w:pPr>
        <w:pStyle w:val="ListNumber"/>
      </w:pPr>
      <w:r>
        <w:t>Inspect shared weight and per-feature coverage.</w:t>
      </w:r>
    </w:p>
    <w:p>
      <w:pPr>
        <w:pStyle w:val="ListNumber"/>
      </w:pPr>
      <w:r>
        <w:t>Treat poet centroids as within-corpus summaries.</w:t>
      </w:r>
    </w:p>
    <w:p>
      <w:pPr>
        <w:pStyle w:val="ListNumber"/>
      </w:pPr>
      <w:r>
        <w:t>Use neighbors to generate comparative readings, not identity claims.</w:t>
      </w:r>
    </w:p>
    <w:p>
      <w:r>
        <w:rPr>
          <w:b/>
        </w:rPr>
        <w:t xml:space="preserve">Model decision. </w:t>
      </w:r>
      <w:r>
        <w:t>Audit the small poet sample and feature coverage, document an inclusion rule, and validate full-space shared-weight evidence before interpreting the centroid.</w:t>
      </w:r>
    </w:p>
    <w:p>
      <w:pPr>
        <w:pStyle w:val="Heading2"/>
      </w:pPr>
      <w:r>
        <w:t>Limitations and common failure modes</w:t>
      </w:r>
    </w:p>
    <w:p>
      <w:pPr>
        <w:pStyle w:val="ListBullet"/>
      </w:pPr>
      <w:r>
        <w:t>Centroids can be unstable with few or unrepresentative poems.</w:t>
      </w:r>
    </w:p>
    <w:p>
      <w:pPr>
        <w:pStyle w:val="ListBullet"/>
      </w:pPr>
      <w:r>
        <w:t>PCA loadings and neighborhoods depend on the indexed corpus.</w:t>
      </w:r>
    </w:p>
    <w:p>
      <w:pPr>
        <w:pStyle w:val="ListBullet"/>
      </w:pPr>
      <w:r>
        <w:t>Weighted Euclidean distance assumes a declared feature geometry and is not a natural law of poetic similarity.</w:t>
      </w:r>
    </w:p>
    <w:p>
      <w:r>
        <w:rPr>
          <w:b/>
        </w:rPr>
        <w:t xml:space="preserve">Reject these shortcuts: </w:t>
      </w:r>
      <w:r>
        <w:t>Add sound metrics to one target profile to improve discrimination.; Treat the two PCA axes as the complete similarity calculation.; Describe a nearest poet centroid as an authorship attribution..</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Do not interpret a VerseMap neighbor or poet centroid when shared feature evidence or reference representation is insufficient.</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L2.7 · Aggregation and Weighting</w:t>
      </w:r>
    </w:p>
    <w:p>
      <w:r>
        <w:rPr>
          <w:b/>
        </w:rPr>
        <w:t xml:space="preserve">Module purpose. </w:t>
      </w:r>
      <w:r>
        <w:t>Choose token-, type-, work-, observation-, author-, and subgroup-level weighting that matches the research question and avoids domination by repetition or length.</w:t>
      </w:r>
    </w:p>
    <w:p>
      <w:pPr>
        <w:pStyle w:val="Heading2"/>
      </w:pPr>
      <w:r>
        <w:t>Learning objectives</w:t>
      </w:r>
    </w:p>
    <w:p>
      <w:pPr>
        <w:pStyle w:val="ListBullet"/>
      </w:pPr>
      <w:r>
        <w:t>Distinguish lexical token/type weighting from corpus equal-work/observation weighting.</w:t>
      </w:r>
    </w:p>
    <w:p>
      <w:pPr>
        <w:pStyle w:val="ListBullet"/>
      </w:pPr>
      <w:r>
        <w:t>Recognize pseudo-replication and author concentration.</w:t>
      </w:r>
    </w:p>
    <w:p>
      <w:pPr>
        <w:pStyle w:val="ListBullet"/>
      </w:pPr>
      <w:r>
        <w:t>Select pooled or averaged statistics according to method.</w:t>
      </w:r>
    </w:p>
    <w:p>
      <w:pPr>
        <w:pStyle w:val="ListBullet"/>
      </w:pPr>
      <w:r>
        <w:t>Run sensitivity analyses across defensible aggregation choices.</w:t>
      </w:r>
    </w:p>
    <w:p>
      <w:pPr>
        <w:pStyle w:val="Heading2"/>
      </w:pPr>
      <w:r>
        <w:t>Why this method matters</w:t>
      </w:r>
    </w:p>
    <w:p>
      <w:r>
        <w:t>Choose token-, type-, work-, observation-, author-, and subgroup-level weighting that matches the research question and avoids domination by repetition or length.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**Weighting must follow the unit of the scholarly claim and remain explicit at every nested level.**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7 core concepts"/>
        <w:tblDescription w:val="Definitions and operational meanings for Aggregation and Weighting."/>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Nested weighting</w:t>
            </w:r>
          </w:p>
        </w:tc>
        <w:tc>
          <w:tcPr>
            <w:tcW w:type="dxa" w:w="7160"/>
            <w:tcMar>
              <w:top w:w="75" w:type="dxa"/>
              <w:start w:w="100" w:type="dxa"/>
              <w:bottom w:w="75" w:type="dxa"/>
              <w:end w:w="100" w:type="dxa"/>
            </w:tcMar>
            <w:vAlign w:val="center"/>
          </w:tcPr>
          <w:p>
            <w:pPr>
              <w:spacing w:after="0" w:line="264" w:lineRule="auto"/>
            </w:pPr>
            <w:r>
              <w:rPr>
                <w:sz w:val="17"/>
              </w:rPr>
              <w:t>A token-weighted poem metric can still enter an equal-work corpus mean; the two weighting decisions occur at different levels.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Equal work versus observation weighted</w:t>
            </w:r>
          </w:p>
        </w:tc>
        <w:tc>
          <w:tcPr>
            <w:tcW w:type="dxa" w:w="7160"/>
            <w:tcMar>
              <w:top w:w="75" w:type="dxa"/>
              <w:start w:w="100" w:type="dxa"/>
              <w:bottom w:w="75" w:type="dxa"/>
              <w:end w:w="100" w:type="dxa"/>
            </w:tcMar>
            <w:vAlign w:val="center"/>
          </w:tcPr>
          <w:p>
            <w:pPr>
              <w:spacing w:after="0" w:line="264" w:lineRule="auto"/>
            </w:pPr>
            <w:r>
              <w:rPr>
                <w:sz w:val="17"/>
              </w:rPr>
              <w:t>Equal-work summaries give each work one contribution; observation-weighted summaries give more influence to works with more retained evidence.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Pooled recomputation</w:t>
            </w:r>
          </w:p>
        </w:tc>
        <w:tc>
          <w:tcPr>
            <w:tcW w:type="dxa" w:w="7160"/>
            <w:tcMar>
              <w:top w:w="75" w:type="dxa"/>
              <w:start w:w="100" w:type="dxa"/>
              <w:bottom w:w="75" w:type="dxa"/>
              <w:end w:w="100" w:type="dxa"/>
            </w:tcMar>
            <w:vAlign w:val="center"/>
          </w:tcPr>
          <w:p>
            <w:pPr>
              <w:spacing w:after="0" w:line="264" w:lineRule="auto"/>
            </w:pPr>
            <w:r>
              <w:rPr>
                <w:sz w:val="17"/>
              </w:rPr>
              <w:t>Sequence-dependent measures such as some lexical-diversity statistics may need pooled ordered evidence rather than averaging work values.</w:t>
            </w:r>
          </w:p>
        </w:tc>
      </w:tr>
    </w:tbl>
    <w:p>
      <w:pPr>
        <w:pStyle w:val="Heading2"/>
      </w:pPr>
      <w:r>
        <w:t>Guided VerseVAD workflow</w:t>
      </w:r>
    </w:p>
    <w:p>
      <w:pPr>
        <w:pStyle w:val="ListNumber"/>
      </w:pPr>
      <w:r>
        <w:t>Draw the hierarchy of authors, collections, works, lines, and tokens.</w:t>
      </w:r>
    </w:p>
    <w:p>
      <w:pPr>
        <w:pStyle w:val="ListNumber"/>
      </w:pPr>
      <w:r>
        <w:t>Choose the unit corresponding to the research claim.</w:t>
      </w:r>
    </w:p>
    <w:p>
      <w:pPr>
        <w:pStyle w:val="ListNumber"/>
      </w:pPr>
      <w:r>
        <w:t>Calculate or inspect equal-unit and observation-weighted summaries separately.</w:t>
      </w:r>
    </w:p>
    <w:p>
      <w:pPr>
        <w:pStyle w:val="ListNumber"/>
      </w:pPr>
      <w:r>
        <w:t>Identify repeated words, long poems, and prolific authors that may dominate.</w:t>
      </w:r>
    </w:p>
    <w:p>
      <w:pPr>
        <w:pStyle w:val="ListNumber"/>
      </w:pPr>
      <w:r>
        <w:t>Use subgroup summaries or author-balanced sensitivity checks.</w:t>
      </w:r>
    </w:p>
    <w:p>
      <w:pPr>
        <w:pStyle w:val="ListNumber"/>
      </w:pPr>
      <w:r>
        <w:t>Report the direction and magnitude of any weighting-dependent change.</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One poet contributes 70 percent of the poems and the longest works. The pooled token mean is reported as the period's typical valu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One poet contributes 70 percent of the poems and the longest works. The pooled token mean is reported as the period's typical value.</w:t>
            </w:r>
          </w:p>
        </w:tc>
      </w:tr>
    </w:tbl>
    <w:p>
      <w:pPr>
        <w:spacing w:after="0"/>
      </w:pPr>
    </w:p>
    <w:p>
      <w:pPr>
        <w:pStyle w:val="ListBullet"/>
      </w:pPr>
      <w:r>
        <w:t>Map the sources of domination.</w:t>
      </w:r>
    </w:p>
    <w:p>
      <w:pPr>
        <w:pStyle w:val="ListBullet"/>
      </w:pPr>
      <w:r>
        <w:t>Choose an equal-work and an author-balanced summary.</w:t>
      </w:r>
    </w:p>
    <w:p>
      <w:pPr>
        <w:pStyle w:val="ListBullet"/>
      </w:pPr>
      <w:r>
        <w:t>Explain why type weighting does not solve author imbalance.</w:t>
      </w:r>
    </w:p>
    <w:p>
      <w:pPr>
        <w:pStyle w:val="ListBullet"/>
      </w:pPr>
      <w:r>
        <w:t>Write a sensitivity-analysis conclusion.</w:t>
      </w:r>
    </w:p>
    <w:p>
      <w:pPr>
        <w:pStyle w:val="Heading2"/>
      </w:pPr>
      <w:r>
        <w:t>Interpretation protocol</w:t>
      </w:r>
    </w:p>
    <w:p>
      <w:pPr>
        <w:pStyle w:val="ListNumber"/>
      </w:pPr>
      <w:r>
        <w:t>Name every weighting level.</w:t>
      </w:r>
    </w:p>
    <w:p>
      <w:pPr>
        <w:pStyle w:val="ListNumber"/>
      </w:pPr>
      <w:r>
        <w:t>Do not call observation-weighted summaries typical works.</w:t>
      </w:r>
    </w:p>
    <w:p>
      <w:pPr>
        <w:pStyle w:val="ListNumber"/>
      </w:pPr>
      <w:r>
        <w:t>Preserve repetition when it is the object of study.</w:t>
      </w:r>
    </w:p>
    <w:p>
      <w:pPr>
        <w:pStyle w:val="ListNumber"/>
      </w:pPr>
      <w:r>
        <w:t>Use normalized cumulative loads for cross-length comparison.</w:t>
      </w:r>
    </w:p>
    <w:p>
      <w:r>
        <w:rPr>
          <w:b/>
        </w:rPr>
        <w:t xml:space="preserve">Model decision. </w:t>
      </w:r>
      <w:r>
        <w:t>Separate token/type choices from work-level aggregation, report equal-work and sensitivity summaries, and limit the period claim in light of author imbalance.</w:t>
      </w:r>
    </w:p>
    <w:p>
      <w:pPr>
        <w:pStyle w:val="Heading2"/>
      </w:pPr>
      <w:r>
        <w:t>Limitations and common failure modes</w:t>
      </w:r>
    </w:p>
    <w:p>
      <w:pPr>
        <w:pStyle w:val="ListBullet"/>
      </w:pPr>
      <w:r>
        <w:t>No single weighting scheme is neutral.</w:t>
      </w:r>
    </w:p>
    <w:p>
      <w:pPr>
        <w:pStyle w:val="ListBullet"/>
      </w:pPr>
      <w:r>
        <w:t>Equal-work weighting may give very short and very long works equal influence.</w:t>
      </w:r>
    </w:p>
    <w:p>
      <w:pPr>
        <w:pStyle w:val="ListBullet"/>
      </w:pPr>
      <w:r>
        <w:t>Author balancing can reduce precision when author counts are small.</w:t>
      </w:r>
    </w:p>
    <w:p>
      <w:r>
        <w:rPr>
          <w:b/>
        </w:rPr>
        <w:t xml:space="preserve">Reject these shortcuts: </w:t>
      </w:r>
      <w:r>
        <w:t>Assume type weighting automatically gives every author equal influence.; Average every metric across works even when it requires pooled sequence evidence.; Choose whichever aggregation produces the largest group difference..</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Weighting must follow the unit of the scholarly claim and remain explicit at every nested level.</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L2.8 · Statistical Inference and Effect Interpretation</w:t>
      </w:r>
    </w:p>
    <w:p>
      <w:r>
        <w:rPr>
          <w:b/>
        </w:rPr>
        <w:t xml:space="preserve">Module purpose. </w:t>
      </w:r>
      <w:r>
        <w:t>Decide when descriptive evidence is sufficient, when external inferential analysis may be justified, and when the corpus design cannot support population claims.</w:t>
      </w:r>
    </w:p>
    <w:p>
      <w:pPr>
        <w:pStyle w:val="Heading2"/>
      </w:pPr>
      <w:r>
        <w:t>Learning objectives</w:t>
      </w:r>
    </w:p>
    <w:p>
      <w:pPr>
        <w:pStyle w:val="ListBullet"/>
      </w:pPr>
      <w:r>
        <w:t>Distinguish descriptive range, standard deviation, effect size, confidence interval, and significance test.</w:t>
      </w:r>
    </w:p>
    <w:p>
      <w:pPr>
        <w:pStyle w:val="ListBullet"/>
      </w:pPr>
      <w:r>
        <w:t>Identify the correct resampling or modeling unit.</w:t>
      </w:r>
    </w:p>
    <w:p>
      <w:pPr>
        <w:pStyle w:val="ListBullet"/>
      </w:pPr>
      <w:r>
        <w:t>Recognize non-independence, multiplicity, and low-power designs.</w:t>
      </w:r>
    </w:p>
    <w:p>
      <w:pPr>
        <w:pStyle w:val="ListBullet"/>
      </w:pPr>
      <w:r>
        <w:t>Document external statistical analysis without attributing it to VerseVAD.</w:t>
      </w:r>
    </w:p>
    <w:p>
      <w:pPr>
        <w:pStyle w:val="Heading2"/>
      </w:pPr>
      <w:r>
        <w:t>Why this method matters</w:t>
      </w:r>
    </w:p>
    <w:p>
      <w:r>
        <w:t>Decide when descriptive evidence is sufficient, when external inferential analysis may be justified, and when the corpus design cannot support population claims.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**Do not describe VerseVAD's descriptive ranges, standard deviations, z-scores, or coverage as inferential significance or confidence.**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8 core concepts"/>
        <w:tblDescription w:val="Definitions and operational meanings for Statistical Inference and Effect Interpretation."/>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Current boundary</w:t>
            </w:r>
          </w:p>
        </w:tc>
        <w:tc>
          <w:tcPr>
            <w:tcW w:type="dxa" w:w="7160"/>
            <w:tcMar>
              <w:top w:w="75" w:type="dxa"/>
              <w:start w:w="100" w:type="dxa"/>
              <w:bottom w:w="75" w:type="dxa"/>
              <w:end w:w="100" w:type="dxa"/>
            </w:tcMar>
            <w:vAlign w:val="center"/>
          </w:tcPr>
          <w:p>
            <w:pPr>
              <w:spacing w:after="0" w:line="264" w:lineRule="auto"/>
            </w:pPr>
            <w:r>
              <w:rPr>
                <w:sz w:val="17"/>
              </w:rPr>
              <w:t>VerseVAD 1.0.0 reports descriptive statistics and deliberately does not attach inferential meaning or confidence intervals to corpus summaries.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Unit of inference</w:t>
            </w:r>
          </w:p>
        </w:tc>
        <w:tc>
          <w:tcPr>
            <w:tcW w:type="dxa" w:w="7160"/>
            <w:tcMar>
              <w:top w:w="75" w:type="dxa"/>
              <w:start w:w="100" w:type="dxa"/>
              <w:bottom w:w="75" w:type="dxa"/>
              <w:end w:w="100" w:type="dxa"/>
            </w:tcMar>
            <w:vAlign w:val="center"/>
          </w:tcPr>
          <w:p>
            <w:pPr>
              <w:spacing w:after="0" w:line="264" w:lineRule="auto"/>
            </w:pPr>
            <w:r>
              <w:rPr>
                <w:sz w:val="17"/>
              </w:rPr>
              <w:t>Token-level tests are generally invalid for author- or poem-level claims when tokens are nested and dependent.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Effect interpretation</w:t>
            </w:r>
          </w:p>
        </w:tc>
        <w:tc>
          <w:tcPr>
            <w:tcW w:type="dxa" w:w="7160"/>
            <w:tcMar>
              <w:top w:w="75" w:type="dxa"/>
              <w:start w:w="100" w:type="dxa"/>
              <w:bottom w:w="75" w:type="dxa"/>
              <w:end w:w="100" w:type="dxa"/>
            </w:tcMar>
            <w:vAlign w:val="center"/>
          </w:tcPr>
          <w:p>
            <w:pPr>
              <w:spacing w:after="0" w:line="264" w:lineRule="auto"/>
            </w:pPr>
            <w:r>
              <w:rPr>
                <w:sz w:val="17"/>
              </w:rPr>
              <w:t>Magnitude, interval uncertainty, model assumptions, and literary consequence matter more than a binary threshold.</w:t>
            </w:r>
          </w:p>
        </w:tc>
      </w:tr>
    </w:tbl>
    <w:p>
      <w:pPr>
        <w:pStyle w:val="Heading2"/>
      </w:pPr>
      <w:r>
        <w:t>Guided VerseVAD workflow</w:t>
      </w:r>
    </w:p>
    <w:p>
      <w:pPr>
        <w:pStyle w:val="ListNumber"/>
      </w:pPr>
      <w:r>
        <w:t>Ask whether the claim concerns only the observed corpus or a broader population.</w:t>
      </w:r>
    </w:p>
    <w:p>
      <w:pPr>
        <w:pStyle w:val="ListNumber"/>
      </w:pPr>
      <w:r>
        <w:t>Identify the independent or clustered unit.</w:t>
      </w:r>
    </w:p>
    <w:p>
      <w:pPr>
        <w:pStyle w:val="ListNumber"/>
      </w:pPr>
      <w:r>
        <w:t>Inspect distribution, sample size, imbalance, missingness, and repeated measures.</w:t>
      </w:r>
    </w:p>
    <w:p>
      <w:pPr>
        <w:pStyle w:val="ListNumber"/>
      </w:pPr>
      <w:r>
        <w:t>Prefer descriptive and sensitivity analysis when design assumptions are weak.</w:t>
      </w:r>
    </w:p>
    <w:p>
      <w:pPr>
        <w:pStyle w:val="ListNumber"/>
      </w:pPr>
      <w:r>
        <w:t>If inference is justified, export data and use appropriate external software with a documented script.</w:t>
      </w:r>
    </w:p>
    <w:p>
      <w:pPr>
        <w:pStyle w:val="ListNumber"/>
      </w:pPr>
      <w:r>
        <w:t>Report effect estimate, uncertainty, assumptions, multiplicity, and practical or literary interpretation.</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researcher runs a token-level t-test on thousands of words from six poems and reports a highly significant period differenc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researcher runs a token-level t-test on thousands of words from six poems and reports a highly significant period difference.</w:t>
            </w:r>
          </w:p>
        </w:tc>
      </w:tr>
    </w:tbl>
    <w:p>
      <w:pPr>
        <w:spacing w:after="0"/>
      </w:pPr>
    </w:p>
    <w:p>
      <w:pPr>
        <w:pStyle w:val="ListBullet"/>
      </w:pPr>
      <w:r>
        <w:t>Identify pseudo-replication.</w:t>
      </w:r>
    </w:p>
    <w:p>
      <w:pPr>
        <w:pStyle w:val="ListBullet"/>
      </w:pPr>
      <w:r>
        <w:t>Choose a defensible unit or explain why inference should be declined.</w:t>
      </w:r>
    </w:p>
    <w:p>
      <w:pPr>
        <w:pStyle w:val="ListBullet"/>
      </w:pPr>
      <w:r>
        <w:t>Separate the VerseVAD export from external analysis.</w:t>
      </w:r>
    </w:p>
    <w:p>
      <w:pPr>
        <w:pStyle w:val="ListBullet"/>
      </w:pPr>
      <w:r>
        <w:t>Write a descriptive alternative.</w:t>
      </w:r>
    </w:p>
    <w:p>
      <w:pPr>
        <w:pStyle w:val="Heading2"/>
      </w:pPr>
      <w:r>
        <w:t>Interpretation protocol</w:t>
      </w:r>
    </w:p>
    <w:p>
      <w:pPr>
        <w:pStyle w:val="ListNumber"/>
      </w:pPr>
      <w:r>
        <w:t>Do not infer beyond the sampling design.</w:t>
      </w:r>
    </w:p>
    <w:p>
      <w:pPr>
        <w:pStyle w:val="ListNumber"/>
      </w:pPr>
      <w:r>
        <w:t>Report uncertainty and effect magnitude together.</w:t>
      </w:r>
    </w:p>
    <w:p>
      <w:pPr>
        <w:pStyle w:val="ListNumber"/>
      </w:pPr>
      <w:r>
        <w:t>Treat model assumptions as part of the method.</w:t>
      </w:r>
    </w:p>
    <w:p>
      <w:pPr>
        <w:pStyle w:val="ListNumber"/>
      </w:pPr>
      <w:r>
        <w:t>Keep statistical and literary significance distinct.</w:t>
      </w:r>
    </w:p>
    <w:p>
      <w:r>
        <w:rPr>
          <w:b/>
        </w:rPr>
        <w:t xml:space="preserve">Model decision. </w:t>
      </w:r>
      <w:r>
        <w:t>Reject token-level pseudo-replication, define a poem- or author-level inferential unit if justified, or present the observed corpus descriptively with explicit scope.</w:t>
      </w:r>
    </w:p>
    <w:p>
      <w:pPr>
        <w:pStyle w:val="Heading2"/>
      </w:pPr>
      <w:r>
        <w:t>Limitations and common failure modes</w:t>
      </w:r>
    </w:p>
    <w:p>
      <w:pPr>
        <w:pStyle w:val="ListBullet"/>
      </w:pPr>
      <w:r>
        <w:t>Very small literary corpora may make asymptotic inference unreliable.</w:t>
      </w:r>
    </w:p>
    <w:p>
      <w:pPr>
        <w:pStyle w:val="ListBullet"/>
      </w:pPr>
      <w:r>
        <w:t>Convenience corpora weaken population interpretation even with sophisticated models.</w:t>
      </w:r>
    </w:p>
    <w:p>
      <w:pPr>
        <w:pStyle w:val="ListBullet"/>
      </w:pPr>
      <w:r>
        <w:t>Multiple metrics create multiplicity and researcher degrees of freedom.</w:t>
      </w:r>
    </w:p>
    <w:p>
      <w:r>
        <w:rPr>
          <w:b/>
        </w:rPr>
        <w:t xml:space="preserve">Reject these shortcuts: </w:t>
      </w:r>
      <w:r>
        <w:t>Treat every matched token as an independent sample from literary history.; Call a small p-value proof of a meaningful poetic difference.; Report an external model as a built-in VerseVAD calculation..</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Do not describe VerseVAD's descriptive ranges, standard deviations, z-scores, or coverage as inferential significance or confidence.</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L2.9 · Diachronic, Collection, and Subcorpus Analysis</w:t>
      </w:r>
    </w:p>
    <w:p>
      <w:r>
        <w:rPr>
          <w:b/>
        </w:rPr>
        <w:t xml:space="preserve">Module purpose. </w:t>
      </w:r>
      <w:r>
        <w:t>Compare periods, collections, genres, authors, or other subcorpora while managing chronology, metadata quality, imbalance, and changing lexical-resource coverage.</w:t>
      </w:r>
    </w:p>
    <w:p>
      <w:pPr>
        <w:pStyle w:val="Heading2"/>
      </w:pPr>
      <w:r>
        <w:t>Learning objectives</w:t>
      </w:r>
    </w:p>
    <w:p>
      <w:pPr>
        <w:pStyle w:val="ListBullet"/>
      </w:pPr>
      <w:r>
        <w:t>Construct reproducible subcorpus filters from metadata.</w:t>
      </w:r>
    </w:p>
    <w:p>
      <w:pPr>
        <w:pStyle w:val="ListBullet"/>
      </w:pPr>
      <w:r>
        <w:t>Distinguish chronological trend from composition change.</w:t>
      </w:r>
    </w:p>
    <w:p>
      <w:pPr>
        <w:pStyle w:val="ListBullet"/>
      </w:pPr>
      <w:r>
        <w:t>Assess whether lexicon coverage varies systematically by subgroup.</w:t>
      </w:r>
    </w:p>
    <w:p>
      <w:pPr>
        <w:pStyle w:val="ListBullet"/>
      </w:pPr>
      <w:r>
        <w:t>Select characteristic and outlying works for comparative close reading.</w:t>
      </w:r>
    </w:p>
    <w:p>
      <w:pPr>
        <w:pStyle w:val="Heading2"/>
      </w:pPr>
      <w:r>
        <w:t>Why this method matters</w:t>
      </w:r>
    </w:p>
    <w:p>
      <w:r>
        <w:t>Compare periods, collections, genres, authors, or other subcorpora while managing chronology, metadata quality, imbalance, and changing lexical-resource coverage.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**A chronological pattern must not be interpreted until subgroup composition and time-varying coverage have been examined.**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9 core concepts"/>
        <w:tblDescription w:val="Definitions and operational meanings for Diachronic, Collection, and Subcorpus Analysis."/>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Metadata as data</w:t>
            </w:r>
          </w:p>
        </w:tc>
        <w:tc>
          <w:tcPr>
            <w:tcW w:type="dxa" w:w="7160"/>
            <w:tcMar>
              <w:top w:w="75" w:type="dxa"/>
              <w:start w:w="100" w:type="dxa"/>
              <w:bottom w:w="75" w:type="dxa"/>
              <w:end w:w="100" w:type="dxa"/>
            </w:tcMar>
            <w:vAlign w:val="center"/>
          </w:tcPr>
          <w:p>
            <w:pPr>
              <w:spacing w:after="0" w:line="264" w:lineRule="auto"/>
            </w:pPr>
            <w:r>
              <w:rPr>
                <w:sz w:val="17"/>
              </w:rPr>
              <w:t>Date, collection, genre, and authorship fields require controlled conventions, uncertainty notes, and versioned corrections.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Composition confounding</w:t>
            </w:r>
          </w:p>
        </w:tc>
        <w:tc>
          <w:tcPr>
            <w:tcW w:type="dxa" w:w="7160"/>
            <w:tcMar>
              <w:top w:w="75" w:type="dxa"/>
              <w:start w:w="100" w:type="dxa"/>
              <w:bottom w:w="75" w:type="dxa"/>
              <w:end w:w="100" w:type="dxa"/>
            </w:tcMar>
            <w:vAlign w:val="center"/>
          </w:tcPr>
          <w:p>
            <w:pPr>
              <w:spacing w:after="0" w:line="264" w:lineRule="auto"/>
            </w:pPr>
            <w:r>
              <w:rPr>
                <w:sz w:val="17"/>
              </w:rPr>
              <w:t>An apparent historical trend may reflect different authors, genres, lengths, editions, or coverage across periods.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Charactericity</w:t>
            </w:r>
          </w:p>
        </w:tc>
        <w:tc>
          <w:tcPr>
            <w:tcW w:type="dxa" w:w="7160"/>
            <w:tcMar>
              <w:top w:w="75" w:type="dxa"/>
              <w:start w:w="100" w:type="dxa"/>
              <w:bottom w:w="75" w:type="dxa"/>
              <w:end w:w="100" w:type="dxa"/>
            </w:tcMar>
            <w:vAlign w:val="center"/>
          </w:tcPr>
          <w:p>
            <w:pPr>
              <w:spacing w:after="0" w:line="264" w:lineRule="auto"/>
            </w:pPr>
            <w:r>
              <w:rPr>
                <w:sz w:val="17"/>
              </w:rPr>
              <w:t>A poem near a corpus centroid is descriptively characteristic of the selected feature profile; distance does not define literary representativeness in every sense.</w:t>
            </w:r>
          </w:p>
        </w:tc>
      </w:tr>
    </w:tbl>
    <w:p>
      <w:pPr>
        <w:pStyle w:val="Heading2"/>
      </w:pPr>
      <w:r>
        <w:t>Guided VerseVAD workflow</w:t>
      </w:r>
    </w:p>
    <w:p>
      <w:pPr>
        <w:pStyle w:val="ListNumber"/>
      </w:pPr>
      <w:r>
        <w:t>Define subgroup rules and uncertain metadata handling.</w:t>
      </w:r>
    </w:p>
    <w:p>
      <w:pPr>
        <w:pStyle w:val="ListNumber"/>
      </w:pPr>
      <w:r>
        <w:t>Inspect counts, authors, lengths, and coverage by subgroup.</w:t>
      </w:r>
    </w:p>
    <w:p>
      <w:pPr>
        <w:pStyle w:val="ListNumber"/>
      </w:pPr>
      <w:r>
        <w:t>Compare equal-work summaries and distributions.</w:t>
      </w:r>
    </w:p>
    <w:p>
      <w:pPr>
        <w:pStyle w:val="ListNumber"/>
      </w:pPr>
      <w:r>
        <w:t>Run author- or collection-balanced sensitivity checks.</w:t>
      </w:r>
    </w:p>
    <w:p>
      <w:pPr>
        <w:pStyle w:val="ListNumber"/>
      </w:pPr>
      <w:r>
        <w:t>Inspect centroid-near and distant works.</w:t>
      </w:r>
    </w:p>
    <w:p>
      <w:pPr>
        <w:pStyle w:val="ListNumber"/>
      </w:pPr>
      <w:r>
        <w:t>Connect corpus patterns to publication, genre, and textual history through external scholarship.</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Later poems appear rarer and more abstract, but they are mostly long dramatic monologues by one author, while earlier poems are short songs by many authors."/>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Later poems appear rarer and more abstract, but they are mostly long dramatic monologues by one author, while earlier poems are short songs by many authors.</w:t>
            </w:r>
          </w:p>
        </w:tc>
      </w:tr>
    </w:tbl>
    <w:p>
      <w:pPr>
        <w:spacing w:after="0"/>
      </w:pPr>
    </w:p>
    <w:p>
      <w:pPr>
        <w:pStyle w:val="ListBullet"/>
      </w:pPr>
      <w:r>
        <w:t>Identify confounds.</w:t>
      </w:r>
    </w:p>
    <w:p>
      <w:pPr>
        <w:pStyle w:val="ListBullet"/>
      </w:pPr>
      <w:r>
        <w:t>Design subgroup and author sensitivity checks.</w:t>
      </w:r>
    </w:p>
    <w:p>
      <w:pPr>
        <w:pStyle w:val="ListBullet"/>
      </w:pPr>
      <w:r>
        <w:t>Assess coverage by period.</w:t>
      </w:r>
    </w:p>
    <w:p>
      <w:pPr>
        <w:pStyle w:val="ListBullet"/>
      </w:pPr>
      <w:r>
        <w:t>Choose two close-reading cases and justify them.</w:t>
      </w:r>
    </w:p>
    <w:p>
      <w:pPr>
        <w:pStyle w:val="Heading2"/>
      </w:pPr>
      <w:r>
        <w:t>Interpretation protocol</w:t>
      </w:r>
    </w:p>
    <w:p>
      <w:pPr>
        <w:pStyle w:val="ListNumber"/>
      </w:pPr>
      <w:r>
        <w:t>Use observed-corpus language unless sampling supports broader claims.</w:t>
      </w:r>
    </w:p>
    <w:p>
      <w:pPr>
        <w:pStyle w:val="ListNumber"/>
      </w:pPr>
      <w:r>
        <w:t>Distinguish time from genre and author composition.</w:t>
      </w:r>
    </w:p>
    <w:p>
      <w:pPr>
        <w:pStyle w:val="ListNumber"/>
      </w:pPr>
      <w:r>
        <w:t>Treat centroid distance as profile-specific.</w:t>
      </w:r>
    </w:p>
    <w:p>
      <w:pPr>
        <w:pStyle w:val="ListNumber"/>
      </w:pPr>
      <w:r>
        <w:t>Document uncertain or missing dates.</w:t>
      </w:r>
    </w:p>
    <w:p>
      <w:r>
        <w:rPr>
          <w:b/>
        </w:rPr>
        <w:t xml:space="preserve">Model decision. </w:t>
      </w:r>
      <w:r>
        <w:t>Separate period, genre, author, length, and coverage effects through subgroup and sensitivity checks before making a diachronic interpretation.</w:t>
      </w:r>
    </w:p>
    <w:p>
      <w:pPr>
        <w:pStyle w:val="Heading2"/>
      </w:pPr>
      <w:r>
        <w:t>Limitations and common failure modes</w:t>
      </w:r>
    </w:p>
    <w:p>
      <w:pPr>
        <w:pStyle w:val="ListBullet"/>
      </w:pPr>
      <w:r>
        <w:t>Historical lexicons may cover periods unevenly.</w:t>
      </w:r>
    </w:p>
    <w:p>
      <w:pPr>
        <w:pStyle w:val="ListBullet"/>
      </w:pPr>
      <w:r>
        <w:t>Publication date, composition date, and edition date answer different questions.</w:t>
      </w:r>
    </w:p>
    <w:p>
      <w:pPr>
        <w:pStyle w:val="ListBullet"/>
      </w:pPr>
      <w:r>
        <w:t>Small subgroups can yield unstable means and centroids.</w:t>
      </w:r>
    </w:p>
    <w:p>
      <w:r>
        <w:rPr>
          <w:b/>
        </w:rPr>
        <w:t xml:space="preserve">Reject these shortcuts: </w:t>
      </w:r>
      <w:r>
        <w:t>Treat a date label as exact when the metadata record is uncertain.; Use centroid proximity as proof that a poem is historically typical.; Attribute every group difference to period while ignoring genre and author concentration..</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A chronological pattern must not be interpreted until subgroup composition and time-varying coverage have been examined.</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L2.10 · Reproducibility, Provenance, and Version Control</w:t>
      </w:r>
    </w:p>
    <w:p>
      <w:r>
        <w:rPr>
          <w:b/>
        </w:rPr>
        <w:t xml:space="preserve">Module purpose. </w:t>
      </w:r>
      <w:r>
        <w:t>Create a research record that can reconstruct corpus identity, text versions, settings, resource hashes, software behavior, analytical batches, and external transformations.</w:t>
      </w:r>
    </w:p>
    <w:p>
      <w:pPr>
        <w:pStyle w:val="Heading2"/>
      </w:pPr>
      <w:r>
        <w:t>Learning objectives</w:t>
      </w:r>
    </w:p>
    <w:p>
      <w:pPr>
        <w:pStyle w:val="ListBullet"/>
      </w:pPr>
      <w:r>
        <w:t>Use manifests, checksums, stable IDs, and immutable run records.</w:t>
      </w:r>
    </w:p>
    <w:p>
      <w:pPr>
        <w:pStyle w:val="ListBullet"/>
      </w:pPr>
      <w:r>
        <w:t>Distinguish source control from data backup and archival deposit.</w:t>
      </w:r>
    </w:p>
    <w:p>
      <w:pPr>
        <w:pStyle w:val="ListBullet"/>
      </w:pPr>
      <w:r>
        <w:t>Document software, model, lexicon, adapter, profile, and scenario versions.</w:t>
      </w:r>
    </w:p>
    <w:p>
      <w:pPr>
        <w:pStyle w:val="ListBullet"/>
      </w:pPr>
      <w:r>
        <w:t>Plan explicit reanalysis rather than silently replacing historical results.</w:t>
      </w:r>
    </w:p>
    <w:p>
      <w:pPr>
        <w:pStyle w:val="Heading2"/>
      </w:pPr>
      <w:r>
        <w:t>Why this method matters</w:t>
      </w:r>
    </w:p>
    <w:p>
      <w:r>
        <w:t>Create a research record that can reconstruct corpus identity, text versions, settings, resource hashes, software behavior, analytical batches, and external transformations.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**Never overwrite or silently relabel the evidence needed to reconstruct a completed analysis.**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10 core concepts"/>
        <w:tblDescription w:val="Definitions and operational meanings for Reproducibility, Provenance, and Version Control."/>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Provenance chain</w:t>
            </w:r>
          </w:p>
        </w:tc>
        <w:tc>
          <w:tcPr>
            <w:tcW w:type="dxa" w:w="7160"/>
            <w:tcMar>
              <w:top w:w="75" w:type="dxa"/>
              <w:start w:w="100" w:type="dxa"/>
              <w:bottom w:w="75" w:type="dxa"/>
              <w:end w:w="100" w:type="dxa"/>
            </w:tcMar>
            <w:vAlign w:val="center"/>
          </w:tcPr>
          <w:p>
            <w:pPr>
              <w:spacing w:after="0" w:line="264" w:lineRule="auto"/>
            </w:pPr>
            <w:r>
              <w:rPr>
                <w:sz w:val="17"/>
              </w:rPr>
              <w:t>A defensible result links an approved text version to processing configuration, exact resource hash, code version, run identity, and export.</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Version control boundary</w:t>
            </w:r>
          </w:p>
        </w:tc>
        <w:tc>
          <w:tcPr>
            <w:tcW w:type="dxa" w:w="7160"/>
            <w:tcMar>
              <w:top w:w="75" w:type="dxa"/>
              <w:start w:w="100" w:type="dxa"/>
              <w:bottom w:w="75" w:type="dxa"/>
              <w:end w:w="100" w:type="dxa"/>
            </w:tcMar>
            <w:vAlign w:val="center"/>
          </w:tcPr>
          <w:p>
            <w:pPr>
              <w:spacing w:after="0" w:line="264" w:lineRule="auto"/>
            </w:pPr>
            <w:r>
              <w:rPr>
                <w:sz w:val="17"/>
              </w:rPr>
              <w:t>Git tracks public code and redistributable assets; ignored licensed data, private corpora, databases, and exports require separate controlled storage.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Historical results</w:t>
            </w:r>
          </w:p>
        </w:tc>
        <w:tc>
          <w:tcPr>
            <w:tcW w:type="dxa" w:w="7160"/>
            <w:tcMar>
              <w:top w:w="75" w:type="dxa"/>
              <w:start w:w="100" w:type="dxa"/>
              <w:bottom w:w="75" w:type="dxa"/>
              <w:end w:w="100" w:type="dxa"/>
            </w:tcMar>
            <w:vAlign w:val="center"/>
          </w:tcPr>
          <w:p>
            <w:pPr>
              <w:spacing w:after="0" w:line="264" w:lineRule="auto"/>
            </w:pPr>
            <w:r>
              <w:rPr>
                <w:sz w:val="17"/>
              </w:rPr>
              <w:t>Opening an older saved analysis presents the stored result and offers deliberate current-version reanalysis rather than silently recalculating it.</w:t>
            </w:r>
          </w:p>
        </w:tc>
      </w:tr>
    </w:tbl>
    <w:p>
      <w:pPr>
        <w:pStyle w:val="Heading2"/>
      </w:pPr>
      <w:r>
        <w:t>Guided VerseVAD workflow</w:t>
      </w:r>
    </w:p>
    <w:p>
      <w:pPr>
        <w:pStyle w:val="ListNumber"/>
      </w:pPr>
      <w:r>
        <w:t>Freeze a corpus manifest and metadata dictionary.</w:t>
      </w:r>
    </w:p>
    <w:p>
      <w:pPr>
        <w:pStyle w:val="ListNumber"/>
      </w:pPr>
      <w:r>
        <w:t>Record file and resource hashes.</w:t>
      </w:r>
    </w:p>
    <w:p>
      <w:pPr>
        <w:pStyle w:val="ListNumber"/>
      </w:pPr>
      <w:r>
        <w:t>Record VerseVAD commit/version, model versions, profile, settings, and scenario.</w:t>
      </w:r>
    </w:p>
    <w:p>
      <w:pPr>
        <w:pStyle w:val="ListNumber"/>
      </w:pPr>
      <w:r>
        <w:t>Export narrative and statistical/audit artifacts with a methods memo.</w:t>
      </w:r>
    </w:p>
    <w:p>
      <w:pPr>
        <w:pStyle w:val="ListNumber"/>
      </w:pPr>
      <w:r>
        <w:t>Store code in version control and private data in backed-up restricted storage.</w:t>
      </w:r>
    </w:p>
    <w:p>
      <w:pPr>
        <w:pStyle w:val="ListNumber"/>
      </w:pPr>
      <w:r>
        <w:t>When updating, retain old results and label any reanalysis as a new run.</w:t>
      </w:r>
    </w:p>
    <w:p>
      <w:pPr>
        <w:keepNext/>
        <w:jc w:val="center"/>
      </w:pPr>
      <w:r/>
    </w:p>
    <w:p>
      <w:pPr>
        <w:pStyle w:val="Caption"/>
        <w:jc w:val="center"/>
      </w:pPr>
      <w:r>
        <w:t>Figure 3. Evidence &amp; Diagnostics supplies the audit trail behind a readable dashboard.</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published table cannot be reproduced because the researcher saved only rounded screenshots and later replaced source files and lexicons in plac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published table cannot be reproduced because the researcher saved only rounded screenshots and later replaced source files and lexicons in place.</w:t>
            </w:r>
          </w:p>
        </w:tc>
      </w:tr>
    </w:tbl>
    <w:p>
      <w:pPr>
        <w:spacing w:after="0"/>
      </w:pPr>
    </w:p>
    <w:p>
      <w:pPr>
        <w:pStyle w:val="ListBullet"/>
      </w:pPr>
      <w:r>
        <w:t>Reconstruct the missing provenance elements.</w:t>
      </w:r>
    </w:p>
    <w:p>
      <w:pPr>
        <w:pStyle w:val="ListBullet"/>
      </w:pPr>
      <w:r>
        <w:t>Design a minimal reproducibility bundle.</w:t>
      </w:r>
    </w:p>
    <w:p>
      <w:pPr>
        <w:pStyle w:val="ListBullet"/>
      </w:pPr>
      <w:r>
        <w:t>Separate Git-tracked and private-backup materials.</w:t>
      </w:r>
    </w:p>
    <w:p>
      <w:pPr>
        <w:pStyle w:val="ListBullet"/>
      </w:pPr>
      <w:r>
        <w:t>Write a historical reanalysis policy.</w:t>
      </w:r>
    </w:p>
    <w:p>
      <w:pPr>
        <w:pStyle w:val="Heading2"/>
      </w:pPr>
      <w:r>
        <w:t>Interpretation protocol</w:t>
      </w:r>
    </w:p>
    <w:p>
      <w:pPr>
        <w:pStyle w:val="ListNumber"/>
      </w:pPr>
      <w:r>
        <w:t>Treat version changes as potential method changes.</w:t>
      </w:r>
    </w:p>
    <w:p>
      <w:pPr>
        <w:pStyle w:val="ListNumber"/>
      </w:pPr>
      <w:r>
        <w:t>Preserve exact resource identities, not only human-readable names.</w:t>
      </w:r>
    </w:p>
    <w:p>
      <w:pPr>
        <w:pStyle w:val="ListNumber"/>
      </w:pPr>
      <w:r>
        <w:t>Keep original precision in machine-readable exports.</w:t>
      </w:r>
    </w:p>
    <w:p>
      <w:pPr>
        <w:pStyle w:val="ListNumber"/>
      </w:pPr>
      <w:r>
        <w:t>Document external scripts and software separately.</w:t>
      </w:r>
    </w:p>
    <w:p>
      <w:r>
        <w:rPr>
          <w:b/>
        </w:rPr>
        <w:t xml:space="preserve">Model decision. </w:t>
      </w:r>
      <w:r>
        <w:t>Preserve versioned texts, hashes, settings, software and resource versions, and unrounded exports while separating public source control from private data backup.</w:t>
      </w:r>
    </w:p>
    <w:p>
      <w:pPr>
        <w:pStyle w:val="Heading2"/>
      </w:pPr>
      <w:r>
        <w:t>Limitations and common failure modes</w:t>
      </w:r>
    </w:p>
    <w:p>
      <w:pPr>
        <w:pStyle w:val="ListBullet"/>
      </w:pPr>
      <w:r>
        <w:t>A checksum proves byte identity, not scholarly correctness.</w:t>
      </w:r>
    </w:p>
    <w:p>
      <w:pPr>
        <w:pStyle w:val="ListBullet"/>
      </w:pPr>
      <w:r>
        <w:t>A reproducible workflow can reproduce a biased corpus design.</w:t>
      </w:r>
    </w:p>
    <w:p>
      <w:pPr>
        <w:pStyle w:val="ListBullet"/>
      </w:pPr>
      <w:r>
        <w:t>Licensed resources may prevent public redistribution of a complete bundle.</w:t>
      </w:r>
    </w:p>
    <w:p>
      <w:r>
        <w:rPr>
          <w:b/>
        </w:rPr>
        <w:t xml:space="preserve">Reject these shortcuts: </w:t>
      </w:r>
      <w:r>
        <w:t>Assume a Git commit contains ignored private databases and lexicons.; Use a filename as proof that two text versions are identical.; Reanalyze under new software and replace the old result without a new run record..</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Never overwrite or silently relabel the evidence needed to reconstruct a completed analysis.</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L2.11 · Research Ethics, Copyright, Privacy, and Data Governance</w:t>
      </w:r>
    </w:p>
    <w:p>
      <w:r>
        <w:rPr>
          <w:b/>
        </w:rPr>
        <w:t xml:space="preserve">Module purpose. </w:t>
      </w:r>
      <w:r>
        <w:t>Plan lawful, ethical, and privacy-preserving collection, analysis, storage, teaching, collaboration, and publication of literary data.</w:t>
      </w:r>
    </w:p>
    <w:p>
      <w:pPr>
        <w:pStyle w:val="Heading2"/>
      </w:pPr>
      <w:r>
        <w:t>Learning objectives</w:t>
      </w:r>
    </w:p>
    <w:p>
      <w:pPr>
        <w:pStyle w:val="ListBullet"/>
      </w:pPr>
      <w:r>
        <w:t>Distinguish software licensing from lexicon and corpus licensing.</w:t>
      </w:r>
    </w:p>
    <w:p>
      <w:pPr>
        <w:pStyle w:val="ListBullet"/>
      </w:pPr>
      <w:r>
        <w:t>Apply public-domain, permission, and fair-use review without assuming legality from technical access.</w:t>
      </w:r>
    </w:p>
    <w:p>
      <w:pPr>
        <w:pStyle w:val="ListBullet"/>
      </w:pPr>
      <w:r>
        <w:t>Protect unpublished poems, notes, and participant or student work.</w:t>
      </w:r>
    </w:p>
    <w:p>
      <w:pPr>
        <w:pStyle w:val="ListBullet"/>
      </w:pPr>
      <w:r>
        <w:t>Define retention, access, deletion, and incident-response responsibilities.</w:t>
      </w:r>
    </w:p>
    <w:p>
      <w:pPr>
        <w:pStyle w:val="Heading2"/>
      </w:pPr>
      <w:r>
        <w:t>Why this method matters</w:t>
      </w:r>
    </w:p>
    <w:p>
      <w:r>
        <w:t>Plan lawful, ethical, and privacy-preserving collection, analysis, storage, teaching, collaboration, and publication of literary data.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**Never commit or redistribute a lexicon, corpus, poem, database, or note merely because the software can read it.**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11 core concepts"/>
        <w:tblDescription w:val="Definitions and operational meanings for Research Ethics, Copyright, Privacy, and Data Governance."/>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Layered rights</w:t>
            </w:r>
          </w:p>
        </w:tc>
        <w:tc>
          <w:tcPr>
            <w:tcW w:type="dxa" w:w="7160"/>
            <w:tcMar>
              <w:top w:w="75" w:type="dxa"/>
              <w:start w:w="100" w:type="dxa"/>
              <w:bottom w:w="75" w:type="dxa"/>
              <w:end w:w="100" w:type="dxa"/>
            </w:tcMar>
            <w:vAlign w:val="center"/>
          </w:tcPr>
          <w:p>
            <w:pPr>
              <w:spacing w:after="0" w:line="264" w:lineRule="auto"/>
            </w:pPr>
            <w:r>
              <w:rPr>
                <w:sz w:val="17"/>
              </w:rPr>
              <w:t>GPL-3.0 licensing for VerseVAD does not grant redistribution rights for third-party lexicons or literary texts.</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Local processing</w:t>
            </w:r>
          </w:p>
        </w:tc>
        <w:tc>
          <w:tcPr>
            <w:tcW w:type="dxa" w:w="7160"/>
            <w:tcMar>
              <w:top w:w="75" w:type="dxa"/>
              <w:start w:w="100" w:type="dxa"/>
              <w:bottom w:w="75" w:type="dxa"/>
              <w:end w:w="100" w:type="dxa"/>
            </w:tcMar>
            <w:vAlign w:val="center"/>
          </w:tcPr>
          <w:p>
            <w:pPr>
              <w:spacing w:after="0" w:line="264" w:lineRule="auto"/>
            </w:pPr>
            <w:r>
              <w:rPr>
                <w:sz w:val="17"/>
              </w:rPr>
              <w:t>VerseVAD is designed to avoid sending texts and results to external services, but local files, backups, collaboration platforms, and cloud deployments still require governance.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Minimum necessary data</w:t>
            </w:r>
          </w:p>
        </w:tc>
        <w:tc>
          <w:tcPr>
            <w:tcW w:type="dxa" w:w="7160"/>
            <w:tcMar>
              <w:top w:w="75" w:type="dxa"/>
              <w:start w:w="100" w:type="dxa"/>
              <w:bottom w:w="75" w:type="dxa"/>
              <w:end w:w="100" w:type="dxa"/>
            </w:tcMar>
            <w:vAlign w:val="center"/>
          </w:tcPr>
          <w:p>
            <w:pPr>
              <w:spacing w:after="0" w:line="264" w:lineRule="auto"/>
            </w:pPr>
            <w:r>
              <w:rPr>
                <w:sz w:val="17"/>
              </w:rPr>
              <w:t>Retain source text, token evidence, and notes only when the research and consent basis requires them; results-only storage changes what can later be audited.</w:t>
            </w:r>
          </w:p>
        </w:tc>
      </w:tr>
    </w:tbl>
    <w:p>
      <w:pPr>
        <w:pStyle w:val="Heading2"/>
      </w:pPr>
      <w:r>
        <w:t>Guided VerseVAD workflow</w:t>
      </w:r>
    </w:p>
    <w:p>
      <w:pPr>
        <w:pStyle w:val="ListNumber"/>
      </w:pPr>
      <w:r>
        <w:t>Inventory copyright, license, consent, privacy, and institutional obligations.</w:t>
      </w:r>
    </w:p>
    <w:p>
      <w:pPr>
        <w:pStyle w:val="ListNumber"/>
      </w:pPr>
      <w:r>
        <w:t>Classify data sensitivity and identify authorized users.</w:t>
      </w:r>
    </w:p>
    <w:p>
      <w:pPr>
        <w:pStyle w:val="ListNumber"/>
      </w:pPr>
      <w:r>
        <w:t>Choose local, encrypted, backed-up storage and retention periods.</w:t>
      </w:r>
    </w:p>
    <w:p>
      <w:pPr>
        <w:pStyle w:val="ListNumber"/>
      </w:pPr>
      <w:r>
        <w:t>Exclude private notes from exports unless deliberately selected.</w:t>
      </w:r>
    </w:p>
    <w:p>
      <w:pPr>
        <w:pStyle w:val="ListNumber"/>
      </w:pPr>
      <w:r>
        <w:t>Review redistribution rights before committing any corpus or lexicon.</w:t>
      </w:r>
    </w:p>
    <w:p>
      <w:pPr>
        <w:pStyle w:val="ListNumber"/>
      </w:pPr>
      <w:r>
        <w:t>Document deletion, breach, and withdrawal procedures.</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collaborative class corpus contains living students' unpublished poems and private interpretive notes. The instructor plans to push the project database to a public GitHub repository for convenience."/>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collaborative class corpus contains living students' unpublished poems and private interpretive notes. The instructor plans to push the project database to a public GitHub repository for convenience.</w:t>
            </w:r>
          </w:p>
        </w:tc>
      </w:tr>
    </w:tbl>
    <w:p>
      <w:pPr>
        <w:spacing w:after="0"/>
      </w:pPr>
    </w:p>
    <w:p>
      <w:pPr>
        <w:pStyle w:val="ListBullet"/>
      </w:pPr>
      <w:r>
        <w:t>Identify legal and privacy risks.</w:t>
      </w:r>
    </w:p>
    <w:p>
      <w:pPr>
        <w:pStyle w:val="ListBullet"/>
      </w:pPr>
      <w:r>
        <w:t>Design a minimally necessary storage plan.</w:t>
      </w:r>
    </w:p>
    <w:p>
      <w:pPr>
        <w:pStyle w:val="ListBullet"/>
      </w:pPr>
      <w:r>
        <w:t>Choose an export-sharing workflow.</w:t>
      </w:r>
    </w:p>
    <w:p>
      <w:pPr>
        <w:pStyle w:val="ListBullet"/>
      </w:pPr>
      <w:r>
        <w:t>Write a deletion and access-control rule.</w:t>
      </w:r>
    </w:p>
    <w:p>
      <w:pPr>
        <w:pStyle w:val="Heading2"/>
      </w:pPr>
      <w:r>
        <w:t>Interpretation protocol</w:t>
      </w:r>
    </w:p>
    <w:p>
      <w:pPr>
        <w:pStyle w:val="ListNumber"/>
      </w:pPr>
      <w:r>
        <w:t>Separate technical possibility from legal permission.</w:t>
      </w:r>
    </w:p>
    <w:p>
      <w:pPr>
        <w:pStyle w:val="ListNumber"/>
      </w:pPr>
      <w:r>
        <w:t>State the jurisdictional and institutional review boundary.</w:t>
      </w:r>
    </w:p>
    <w:p>
      <w:pPr>
        <w:pStyle w:val="ListNumber"/>
      </w:pPr>
      <w:r>
        <w:t>Default private notes to exclusion.</w:t>
      </w:r>
    </w:p>
    <w:p>
      <w:pPr>
        <w:pStyle w:val="ListNumber"/>
      </w:pPr>
      <w:r>
        <w:t>Avoid embedding copyrighted text in public examples.</w:t>
      </w:r>
    </w:p>
    <w:p>
      <w:r>
        <w:rPr>
          <w:b/>
        </w:rPr>
        <w:t xml:space="preserve">Model decision. </w:t>
      </w:r>
      <w:r>
        <w:t>Keep the corpus and notes out of public Git, apply institutional and rights review, restrict access, minimize retained data, and share only authorized exports.</w:t>
      </w:r>
    </w:p>
    <w:p>
      <w:pPr>
        <w:pStyle w:val="Heading2"/>
      </w:pPr>
      <w:r>
        <w:t>Limitations and common failure modes</w:t>
      </w:r>
    </w:p>
    <w:p>
      <w:pPr>
        <w:pStyle w:val="ListBullet"/>
      </w:pPr>
      <w:r>
        <w:t>This course is methodological guidance, not jurisdiction-specific legal advice.</w:t>
      </w:r>
    </w:p>
    <w:p>
      <w:pPr>
        <w:pStyle w:val="ListBullet"/>
      </w:pPr>
      <w:r>
        <w:t>Public-domain status can vary by jurisdiction and edition.</w:t>
      </w:r>
    </w:p>
    <w:p>
      <w:pPr>
        <w:pStyle w:val="ListBullet"/>
      </w:pPr>
      <w:r>
        <w:t>De-identification may fail when poems or quotations are recognizable.</w:t>
      </w:r>
    </w:p>
    <w:p>
      <w:r>
        <w:rPr>
          <w:b/>
        </w:rPr>
        <w:t xml:space="preserve">Reject these shortcuts: </w:t>
      </w:r>
      <w:r>
        <w:t>Assume GPL-3.0 covers every third-party dataset used by VerseVAD.; Treat removing author names as sufficient protection for recognizable unpublished poems.; Include all research notes in quick exports by default..</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Never commit or redistribute a lexicon, corpus, poem, database, or note merely because the software can read it.</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L2.12 · Scholarly and Professional Reporting</w:t>
      </w:r>
    </w:p>
    <w:p>
      <w:r>
        <w:rPr>
          <w:b/>
        </w:rPr>
        <w:t xml:space="preserve">Module purpose. </w:t>
      </w:r>
      <w:r>
        <w:t>Produce audience-appropriate corpus reports that integrate transparent methods, readable visual summaries, literary evidence, limitations, and a reproducibility appendix.</w:t>
      </w:r>
    </w:p>
    <w:p>
      <w:pPr>
        <w:pStyle w:val="Heading2"/>
      </w:pPr>
      <w:r>
        <w:t>Learning objectives</w:t>
      </w:r>
    </w:p>
    <w:p>
      <w:pPr>
        <w:pStyle w:val="ListBullet"/>
      </w:pPr>
      <w:r>
        <w:t>Structure a report around research questions rather than a metric inventory.</w:t>
      </w:r>
    </w:p>
    <w:p>
      <w:pPr>
        <w:pStyle w:val="ListBullet"/>
      </w:pPr>
      <w:r>
        <w:t>Present corpus and poem-level evidence in compatible tables and charts.</w:t>
      </w:r>
    </w:p>
    <w:p>
      <w:pPr>
        <w:pStyle w:val="ListBullet"/>
      </w:pPr>
      <w:r>
        <w:t>Select representative, characteristic, and outlying works for close reading.</w:t>
      </w:r>
    </w:p>
    <w:p>
      <w:pPr>
        <w:pStyle w:val="ListBullet"/>
      </w:pPr>
      <w:r>
        <w:t>Create a reproducibility appendix and defensible oral methods explanation.</w:t>
      </w:r>
    </w:p>
    <w:p>
      <w:pPr>
        <w:pStyle w:val="Heading2"/>
      </w:pPr>
      <w:r>
        <w:t>Why this method matters</w:t>
      </w:r>
    </w:p>
    <w:p>
      <w:r>
        <w:t>Produce audience-appropriate corpus reports that integrate transparent methods, readable visual summaries, literary evidence, limitations, and a reproducibility appendix. In VerseVAD, this is not merely an interface skill. It determines what evidence is eligible, which comparison is fair, and how strongly a literary claim can be made. A responsible analyst should be able to explain the decision without pointing to the software as an authority.</w:t>
      </w:r>
    </w:p>
    <w:p>
      <w:r>
        <w:t>The controlling safeguard for this module is: **Every public claim must remain proportionate to corpus design, evidence coverage, aggregation, and the actual calculation source.** The rule should be visible in the research plan, the analysis record, and the prose interpretation. If the evidence does not support the planned claim, revision is a successful methodological outcome rather than a failed analysis.</w:t>
      </w:r>
    </w:p>
    <w:p>
      <w:pPr>
        <w:pStyle w:val="Heading2"/>
      </w:pPr>
      <w:r>
        <w:t>Core concepts</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2.12 core concepts"/>
        <w:tblDescription w:val="Definitions and operational meanings for Scholarly and Professional Reporting."/>
      </w:tblPr>
      <w:tblGrid>
        <w:gridCol w:w="4680"/>
        <w:gridCol w:w="4680"/>
      </w:tblGrid>
      <w:tr>
        <w:trPr>
          <w:cantSplit/>
          <w:trHeight w:hRule="atLeast"/>
          <w:tblHeader w:val="true"/>
        </w:trPr>
        <w:tc>
          <w:tcPr>
            <w:tcW w:type="dxa" w:w="2200"/>
            <w:tcMar>
              <w:top w:w="75" w:type="dxa"/>
              <w:start w:w="100" w:type="dxa"/>
              <w:bottom w:w="75" w:type="dxa"/>
              <w:end w:w="100" w:type="dxa"/>
            </w:tcMar>
            <w:vAlign w:val="center"/>
            <w:shd w:fill="E8EEF5"/>
          </w:tcPr>
          <w:p>
            <w:pPr>
              <w:spacing w:after="0" w:line="264" w:lineRule="auto"/>
            </w:pPr>
            <w:r>
              <w:rPr>
                <w:b/>
                <w:color w:val="1F4D78"/>
                <w:sz w:val="17"/>
              </w:rPr>
              <w:t>Concept</w:t>
            </w:r>
          </w:p>
        </w:tc>
        <w:tc>
          <w:tcPr>
            <w:tcW w:type="dxa" w:w="7160"/>
            <w:tcMar>
              <w:top w:w="75" w:type="dxa"/>
              <w:start w:w="100" w:type="dxa"/>
              <w:bottom w:w="75" w:type="dxa"/>
              <w:end w:w="100" w:type="dxa"/>
            </w:tcMar>
            <w:vAlign w:val="center"/>
            <w:shd w:fill="E8EEF5"/>
          </w:tcPr>
          <w:p>
            <w:pPr>
              <w:spacing w:after="0" w:line="264" w:lineRule="auto"/>
            </w:pPr>
            <w:r>
              <w:rPr>
                <w:b/>
                <w:color w:val="1F4D78"/>
                <w:sz w:val="17"/>
              </w:rPr>
              <w:t>Operational meaning</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Layered reporting</w:t>
            </w:r>
          </w:p>
        </w:tc>
        <w:tc>
          <w:tcPr>
            <w:tcW w:type="dxa" w:w="7160"/>
            <w:tcMar>
              <w:top w:w="75" w:type="dxa"/>
              <w:start w:w="100" w:type="dxa"/>
              <w:bottom w:w="75" w:type="dxa"/>
              <w:end w:w="100" w:type="dxa"/>
            </w:tcMar>
            <w:vAlign w:val="center"/>
          </w:tcPr>
          <w:p>
            <w:pPr>
              <w:spacing w:after="0" w:line="264" w:lineRule="auto"/>
            </w:pPr>
            <w:r>
              <w:rPr>
                <w:sz w:val="17"/>
              </w:rPr>
              <w:t>A main narrative should remain readable while appendices and exports retain complete settings, evidence, and provenance.</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Visual integrity</w:t>
            </w:r>
          </w:p>
        </w:tc>
        <w:tc>
          <w:tcPr>
            <w:tcW w:type="dxa" w:w="7160"/>
            <w:tcMar>
              <w:top w:w="75" w:type="dxa"/>
              <w:start w:w="100" w:type="dxa"/>
              <w:bottom w:w="75" w:type="dxa"/>
              <w:end w:w="100" w:type="dxa"/>
            </w:tcMar>
            <w:vAlign w:val="center"/>
          </w:tcPr>
          <w:p>
            <w:pPr>
              <w:spacing w:after="0" w:line="264" w:lineRule="auto"/>
            </w:pPr>
            <w:r>
              <w:rPr>
                <w:sz w:val="17"/>
              </w:rPr>
              <w:t>Axes, units, denominators, missingness, and aggregation must be visible; decorative precision and truncated scales can mislead.</w:t>
            </w:r>
          </w:p>
        </w:tc>
      </w:tr>
      <w:tr>
        <w:trPr>
          <w:cantSplit/>
          <w:trHeight w:hRule="atLeast"/>
        </w:trPr>
        <w:tc>
          <w:tcPr>
            <w:tcW w:type="dxa" w:w="2200"/>
            <w:tcMar>
              <w:top w:w="75" w:type="dxa"/>
              <w:start w:w="100" w:type="dxa"/>
              <w:bottom w:w="75" w:type="dxa"/>
              <w:end w:w="100" w:type="dxa"/>
            </w:tcMar>
            <w:vAlign w:val="center"/>
          </w:tcPr>
          <w:p>
            <w:pPr>
              <w:spacing w:after="0" w:line="264" w:lineRule="auto"/>
            </w:pPr>
            <w:r>
              <w:rPr>
                <w:sz w:val="17"/>
              </w:rPr>
              <w:t>Methodological defense</w:t>
            </w:r>
          </w:p>
        </w:tc>
        <w:tc>
          <w:tcPr>
            <w:tcW w:type="dxa" w:w="7160"/>
            <w:tcMar>
              <w:top w:w="75" w:type="dxa"/>
              <w:start w:w="100" w:type="dxa"/>
              <w:bottom w:w="75" w:type="dxa"/>
              <w:end w:w="100" w:type="dxa"/>
            </w:tcMar>
            <w:vAlign w:val="center"/>
          </w:tcPr>
          <w:p>
            <w:pPr>
              <w:spacing w:after="0" w:line="264" w:lineRule="auto"/>
            </w:pPr>
            <w:r>
              <w:rPr>
                <w:sz w:val="17"/>
              </w:rPr>
              <w:t>A researcher should be able to explain why the corpus, profile, weighting, baseline, and interpretive scope fit the question.</w:t>
            </w:r>
          </w:p>
        </w:tc>
      </w:tr>
    </w:tbl>
    <w:p>
      <w:pPr>
        <w:pStyle w:val="Heading2"/>
      </w:pPr>
      <w:r>
        <w:t>Guided VerseVAD workflow</w:t>
      </w:r>
    </w:p>
    <w:p>
      <w:pPr>
        <w:pStyle w:val="ListNumber"/>
      </w:pPr>
      <w:r>
        <w:t>State question, corpus, unit, and scope.</w:t>
      </w:r>
    </w:p>
    <w:p>
      <w:pPr>
        <w:pStyle w:val="ListNumber"/>
      </w:pPr>
      <w:r>
        <w:t>Describe preprocessing, resources, profile, weighting, coverage, and versions.</w:t>
      </w:r>
    </w:p>
    <w:p>
      <w:pPr>
        <w:pStyle w:val="ListNumber"/>
      </w:pPr>
      <w:r>
        <w:t>Present descriptive distributions before selected comparisons.</w:t>
      </w:r>
    </w:p>
    <w:p>
      <w:pPr>
        <w:pStyle w:val="ListNumber"/>
      </w:pPr>
      <w:r>
        <w:t>Close read works chosen by a transparent criterion.</w:t>
      </w:r>
    </w:p>
    <w:p>
      <w:pPr>
        <w:pStyle w:val="ListNumber"/>
      </w:pPr>
      <w:r>
        <w:t>Report sensitivity checks, missingness, and limitations.</w:t>
      </w:r>
    </w:p>
    <w:p>
      <w:pPr>
        <w:pStyle w:val="ListNumber"/>
      </w:pPr>
      <w:r>
        <w:t>Append manifests, data dictionary, exports, and external scripts as permitted.</w:t>
      </w:r>
    </w:p>
    <w:p>
      <w:pPr>
        <w:pStyle w:val="Heading2"/>
      </w:pPr>
      <w:r>
        <w:t>Guided case</w:t>
      </w:r>
    </w:p>
    <w:tbl>
      <w:tblPr>
        <w:tblW w:type="dxa" w:w="9360"/>
        <w:jc w:val="center"/>
        <w:tblLook w:firstColumn="1" w:firstRow="1" w:lastColumn="0" w:lastRow="0" w:noHBand="0" w:noVBand="1" w:val="04A0"/>
        <w:tblLayout w:type="fixed"/>
        <w:tblBorders>
          <w:top w:val="single" w:sz="6" w:space="0" w:color="3D6B49"/>
          <w:left w:val="single" w:sz="6" w:space="0" w:color="3D6B49"/>
          <w:bottom w:val="single" w:sz="6" w:space="0" w:color="3D6B49"/>
          <w:right w:val="single" w:sz="6" w:space="0" w:color="3D6B49"/>
          <w:insideH w:val="single" w:sz="6" w:space="0" w:color="3D6B49"/>
          <w:insideV w:val="single" w:sz="6" w:space="0" w:color="3D6B49"/>
        </w:tblBorders>
        <w:tblCaption w:val="Practice callout"/>
        <w:tblDescription w:val="A report includes polished PCA graphics and p-values but omits the corpus manifest, coverage distribution, weighting, and reasons for selecting three quoted poems."/>
      </w:tblPr>
      <w:tblGrid>
        <w:gridCol w:w="9360"/>
      </w:tblGrid>
      <w:tr>
        <w:trPr>
          <w:tblHeader w:val="true"/>
        </w:trPr>
        <w:tc>
          <w:tcPr>
            <w:tcW w:type="dxa" w:w="9360"/>
            <w:shd w:fill="E8F2EA"/>
            <w:tcMar>
              <w:top w:w="140" w:type="dxa"/>
              <w:start w:w="160" w:type="dxa"/>
              <w:bottom w:w="140" w:type="dxa"/>
              <w:end w:w="160" w:type="dxa"/>
            </w:tcMar>
          </w:tcPr>
          <w:p>
            <w:pPr>
              <w:spacing w:after="0"/>
            </w:pPr>
            <w:r>
              <w:rPr>
                <w:b/>
                <w:color w:val="3D6B49"/>
              </w:rPr>
              <w:t xml:space="preserve">PRACTICE: </w:t>
            </w:r>
            <w:r>
              <w:t>A report includes polished PCA graphics and p-values but omits the corpus manifest, coverage distribution, weighting, and reasons for selecting three quoted poems.</w:t>
            </w:r>
          </w:p>
        </w:tc>
      </w:tr>
    </w:tbl>
    <w:p>
      <w:pPr>
        <w:spacing w:after="0"/>
      </w:pPr>
    </w:p>
    <w:p>
      <w:pPr>
        <w:pStyle w:val="ListBullet"/>
      </w:pPr>
      <w:r>
        <w:t>Identify the minimum missing methods and evidence.</w:t>
      </w:r>
    </w:p>
    <w:p>
      <w:pPr>
        <w:pStyle w:val="ListBullet"/>
      </w:pPr>
      <w:r>
        <w:t>Reframe the figure caption.</w:t>
      </w:r>
    </w:p>
    <w:p>
      <w:pPr>
        <w:pStyle w:val="ListBullet"/>
      </w:pPr>
      <w:r>
        <w:t>Justify case selection.</w:t>
      </w:r>
    </w:p>
    <w:p>
      <w:pPr>
        <w:pStyle w:val="ListBullet"/>
      </w:pPr>
      <w:r>
        <w:t>Prepare three oral-defense questions and responses.</w:t>
      </w:r>
    </w:p>
    <w:p>
      <w:pPr>
        <w:pStyle w:val="Heading2"/>
      </w:pPr>
      <w:r>
        <w:t>Interpretation protocol</w:t>
      </w:r>
    </w:p>
    <w:p>
      <w:pPr>
        <w:pStyle w:val="ListNumber"/>
      </w:pPr>
      <w:r>
        <w:t>Lead with evidence that answers the question.</w:t>
      </w:r>
    </w:p>
    <w:p>
      <w:pPr>
        <w:pStyle w:val="ListNumber"/>
      </w:pPr>
      <w:r>
        <w:t>Keep descriptive and inferential outputs clearly sourced.</w:t>
      </w:r>
    </w:p>
    <w:p>
      <w:pPr>
        <w:pStyle w:val="ListNumber"/>
      </w:pPr>
      <w:r>
        <w:t>Explain why selected poems illuminate the distribution.</w:t>
      </w:r>
    </w:p>
    <w:p>
      <w:pPr>
        <w:pStyle w:val="ListNumber"/>
      </w:pPr>
      <w:r>
        <w:t>Make limitations consequential to claim scope.</w:t>
      </w:r>
    </w:p>
    <w:p>
      <w:r>
        <w:rPr>
          <w:b/>
        </w:rPr>
        <w:t xml:space="preserve">Model decision. </w:t>
      </w:r>
      <w:r>
        <w:t>Rebuild the report around the research question, disclose corpus and method provenance, show coverage and distributions, justify close-reading cases, and separate external inference from VerseVAD output.</w:t>
      </w:r>
    </w:p>
    <w:p>
      <w:pPr>
        <w:pStyle w:val="Heading2"/>
      </w:pPr>
      <w:r>
        <w:t>Limitations and common failure modes</w:t>
      </w:r>
    </w:p>
    <w:p>
      <w:pPr>
        <w:pStyle w:val="ListBullet"/>
      </w:pPr>
      <w:r>
        <w:t>A comprehensive appendix cannot repair an invalid corpus design.</w:t>
      </w:r>
    </w:p>
    <w:p>
      <w:pPr>
        <w:pStyle w:val="ListBullet"/>
      </w:pPr>
      <w:r>
        <w:t>Visual polish can obscure weak denominators.</w:t>
      </w:r>
    </w:p>
    <w:p>
      <w:pPr>
        <w:pStyle w:val="ListBullet"/>
      </w:pPr>
      <w:r>
        <w:t>Public reports may need to omit source text or private notes despite reduced audit detail.</w:t>
      </w:r>
    </w:p>
    <w:p>
      <w:r>
        <w:rPr>
          <w:b/>
        </w:rPr>
        <w:t xml:space="preserve">Reject these shortcuts: </w:t>
      </w:r>
      <w:r>
        <w:t>Use polished visualization as a substitute for transparent methods.; Select quotations only because they confirm the aggregate pattern.; Put all caveats in an appendix without changing the main claim..</w:t>
      </w:r>
    </w:p>
    <w:p>
      <w:pPr>
        <w:pStyle w:val="Heading2"/>
      </w:pPr>
      <w:r>
        <w:t>Independent practice record</w:t>
      </w:r>
    </w:p>
    <w:p>
      <w:pPr>
        <w:pStyle w:val="ListBullet"/>
      </w:pPr>
      <w:r>
        <w:t>Text or corpus identity and source:</w:t>
      </w:r>
    </w:p>
    <w:p>
      <w:pPr>
        <w:pStyle w:val="ListBullet"/>
      </w:pPr>
      <w:r>
        <w:t>Question and prediction:</w:t>
      </w:r>
    </w:p>
    <w:p>
      <w:pPr>
        <w:pStyle w:val="ListBullet"/>
      </w:pPr>
      <w:r>
        <w:t>Profile, resources, weighting, stopword policy, and relevant thresholds:</w:t>
      </w:r>
    </w:p>
    <w:p>
      <w:pPr>
        <w:pStyle w:val="ListBullet"/>
      </w:pPr>
      <w:r>
        <w:t>Eligible and matched evidence, coverage, and warnings:</w:t>
      </w:r>
    </w:p>
    <w:p>
      <w:pPr>
        <w:pStyle w:val="ListBullet"/>
      </w:pPr>
      <w:r>
        <w:t>Finding that supports the reading:</w:t>
      </w:r>
    </w:p>
    <w:p>
      <w:pPr>
        <w:pStyle w:val="ListBullet"/>
      </w:pPr>
      <w:r>
        <w:t>Finding that complicates or redirects the reading:</w:t>
      </w:r>
    </w:p>
    <w:p>
      <w:pPr>
        <w:pStyle w:val="ListBullet"/>
      </w:pPr>
      <w:r>
        <w:t>Revised claim and limitation:</w:t>
      </w:r>
    </w:p>
    <w:p>
      <w:pPr>
        <w:pStyle w:val="Heading2"/>
      </w:pPr>
      <w:r>
        <w:t>Module mastery check</w:t>
      </w:r>
    </w:p>
    <w:p>
      <w:pPr>
        <w:pStyle w:val="ListBullet"/>
      </w:pPr>
      <w:r>
        <w:t>Explain this rule without notes: Every public claim must remain proportionate to corpus design, evidence coverage, aggregation, and the actual calculation source.</w:t>
      </w:r>
    </w:p>
    <w:p>
      <w:pPr>
        <w:pStyle w:val="ListBullet"/>
      </w:pPr>
      <w:r>
        <w:t>Demonstrate the workflow with a rights-cleared text and narrate every material setting.</w:t>
      </w:r>
    </w:p>
    <w:p>
      <w:pPr>
        <w:pStyle w:val="ListBullet"/>
      </w:pPr>
      <w:r>
        <w:t>Produce one defensible and one intentionally indefensible result sentence, then explain the difference.</w:t>
      </w:r>
    </w:p>
    <w:p>
      <w:pPr>
        <w:pStyle w:val="ListBullet"/>
      </w:pPr>
      <w:r>
        <w:t>Save the required private evidence record without adding source text or notes to public version control.</w:t>
      </w:r>
    </w:p>
    <w:p>
      <w:pPr>
        <w:pStyle w:val="Heading1"/>
      </w:pPr>
      <w:r>
        <w:t>Course Synthesis and Method Reference</w:t>
      </w:r>
    </w:p>
    <w:p>
      <w:r>
        <w:t>Use the following protocol whenever a new question, poem, corpus, software version, or audience changes the analytical situation. The protocol is intentionally conservative: it makes the inferential steps visible and preserves a path back to evidence.</w:t>
      </w:r>
    </w:p>
    <w:p>
      <w:pPr>
        <w:pStyle w:val="ListNumber"/>
      </w:pPr>
      <w:r>
        <w:t>Define the literary question, unit, comparison, and plausible alternative explanation.</w:t>
      </w:r>
    </w:p>
    <w:p>
      <w:pPr>
        <w:pStyle w:val="ListNumber"/>
      </w:pPr>
      <w:r>
        <w:t>Verify text identity, rights, provenance, spelling, lineation, stanza boundaries, and metadata.</w:t>
      </w:r>
    </w:p>
    <w:p>
      <w:pPr>
        <w:pStyle w:val="ListNumber"/>
      </w:pPr>
      <w:r>
        <w:t>Choose the smallest fit-for-purpose profile and document every customization.</w:t>
      </w:r>
    </w:p>
    <w:p>
      <w:pPr>
        <w:pStyle w:val="ListNumber"/>
      </w:pPr>
      <w:r>
        <w:t>Run the analysis and inspect errors, warnings, coverage, denominators, and unresolved dependencies.</w:t>
      </w:r>
    </w:p>
    <w:p>
      <w:pPr>
        <w:pStyle w:val="ListNumber"/>
      </w:pPr>
      <w:r>
        <w:t>Read headline means, normalized accumulation, dispersion, and local evidence in that order when available.</w:t>
      </w:r>
    </w:p>
    <w:p>
      <w:pPr>
        <w:pStyle w:val="ListNumber"/>
      </w:pPr>
      <w:r>
        <w:t>Run only pre-justified sensitivity analyses under comparable settings.</w:t>
      </w:r>
    </w:p>
    <w:p>
      <w:pPr>
        <w:pStyle w:val="ListNumber"/>
      </w:pPr>
      <w:r>
        <w:t>Return to passages or works chosen by a transparent criterion.</w:t>
      </w:r>
    </w:p>
    <w:p>
      <w:pPr>
        <w:pStyle w:val="ListNumber"/>
      </w:pPr>
      <w:r>
        <w:t>Write support, complication, limitation, and reproducibility together.</w:t>
      </w:r>
    </w:p>
    <w:p>
      <w:pPr>
        <w:pStyle w:val="ListNumber"/>
      </w:pPr>
      <w:r>
        <w:t>Archive appropriate exports and private notes under a documented storage and rights plan.</w:t>
      </w:r>
    </w:p>
    <w:p>
      <w:pPr>
        <w:pStyle w:val="Heading2"/>
      </w:pPr>
      <w:r>
        <w:t>Construct-separation matrix</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Construct separation matrix"/>
        <w:tblDescription w:val="Evidence types, proper descriptions, and common misinterpretations."/>
      </w:tblPr>
      <w:tblGrid>
        <w:gridCol w:w="3120"/>
        <w:gridCol w:w="3120"/>
        <w:gridCol w:w="3120"/>
      </w:tblGrid>
      <w:tr>
        <w:trPr>
          <w:cantSplit/>
          <w:trHeight w:hRule="atLeast"/>
          <w:tblHeader w:val="true"/>
        </w:trPr>
        <w:tc>
          <w:tcPr>
            <w:tcW w:type="dxa" w:w="1800"/>
            <w:tcMar>
              <w:top w:w="75" w:type="dxa"/>
              <w:start w:w="100" w:type="dxa"/>
              <w:bottom w:w="75" w:type="dxa"/>
              <w:end w:w="100" w:type="dxa"/>
            </w:tcMar>
            <w:vAlign w:val="center"/>
            <w:shd w:fill="E8EEF5"/>
          </w:tcPr>
          <w:p>
            <w:pPr>
              <w:spacing w:after="0" w:line="264" w:lineRule="auto"/>
            </w:pPr>
            <w:r>
              <w:rPr>
                <w:b/>
                <w:color w:val="1F4D78"/>
                <w:sz w:val="17"/>
              </w:rPr>
              <w:t>Evidence</w:t>
            </w:r>
          </w:p>
        </w:tc>
        <w:tc>
          <w:tcPr>
            <w:tcW w:type="dxa" w:w="3780"/>
            <w:tcMar>
              <w:top w:w="75" w:type="dxa"/>
              <w:start w:w="100" w:type="dxa"/>
              <w:bottom w:w="75" w:type="dxa"/>
              <w:end w:w="100" w:type="dxa"/>
            </w:tcMar>
            <w:vAlign w:val="center"/>
            <w:shd w:fill="E8EEF5"/>
          </w:tcPr>
          <w:p>
            <w:pPr>
              <w:spacing w:after="0" w:line="264" w:lineRule="auto"/>
            </w:pPr>
            <w:r>
              <w:rPr>
                <w:b/>
                <w:color w:val="1F4D78"/>
                <w:sz w:val="17"/>
              </w:rPr>
              <w:t>What it describes</w:t>
            </w:r>
          </w:p>
        </w:tc>
        <w:tc>
          <w:tcPr>
            <w:tcW w:type="dxa" w:w="3780"/>
            <w:tcMar>
              <w:top w:w="75" w:type="dxa"/>
              <w:start w:w="100" w:type="dxa"/>
              <w:bottom w:w="75" w:type="dxa"/>
              <w:end w:w="100" w:type="dxa"/>
            </w:tcMar>
            <w:vAlign w:val="center"/>
            <w:shd w:fill="E8EEF5"/>
          </w:tcPr>
          <w:p>
            <w:pPr>
              <w:spacing w:after="0" w:line="264" w:lineRule="auto"/>
            </w:pPr>
            <w:r>
              <w:rPr>
                <w:b/>
                <w:color w:val="1F4D78"/>
                <w:sz w:val="17"/>
              </w:rPr>
              <w:t>Do not call it</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VAD mean</w:t>
            </w:r>
          </w:p>
        </w:tc>
        <w:tc>
          <w:tcPr>
            <w:tcW w:type="dxa" w:w="3780"/>
            <w:tcMar>
              <w:top w:w="75" w:type="dxa"/>
              <w:start w:w="100" w:type="dxa"/>
              <w:bottom w:w="75" w:type="dxa"/>
              <w:end w:w="100" w:type="dxa"/>
            </w:tcMar>
            <w:vAlign w:val="center"/>
          </w:tcPr>
          <w:p>
            <w:pPr>
              <w:spacing w:after="0" w:line="264" w:lineRule="auto"/>
            </w:pPr>
            <w:r>
              <w:rPr>
                <w:sz w:val="17"/>
              </w:rPr>
              <w:t>Center of matched normative lexical ratings</w:t>
            </w:r>
          </w:p>
        </w:tc>
        <w:tc>
          <w:tcPr>
            <w:tcW w:type="dxa" w:w="3780"/>
            <w:tcMar>
              <w:top w:w="75" w:type="dxa"/>
              <w:start w:w="100" w:type="dxa"/>
              <w:bottom w:w="75" w:type="dxa"/>
              <w:end w:w="100" w:type="dxa"/>
            </w:tcMar>
            <w:vAlign w:val="center"/>
          </w:tcPr>
          <w:p>
            <w:pPr>
              <w:spacing w:after="0" w:line="264" w:lineRule="auto"/>
            </w:pPr>
            <w:r>
              <w:rPr>
                <w:sz w:val="17"/>
              </w:rPr>
              <w:t>The poem's or speaker's actual emotion</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Within-poem SD</w:t>
            </w:r>
          </w:p>
        </w:tc>
        <w:tc>
          <w:tcPr>
            <w:tcW w:type="dxa" w:w="3780"/>
            <w:tcMar>
              <w:top w:w="75" w:type="dxa"/>
              <w:start w:w="100" w:type="dxa"/>
              <w:bottom w:w="75" w:type="dxa"/>
              <w:end w:w="100" w:type="dxa"/>
            </w:tcMar>
            <w:vAlign w:val="center"/>
          </w:tcPr>
          <w:p>
            <w:pPr>
              <w:spacing w:after="0" w:line="264" w:lineRule="auto"/>
            </w:pPr>
            <w:r>
              <w:rPr>
                <w:sz w:val="17"/>
              </w:rPr>
              <w:t>Spread among retained ratings inside a poem</w:t>
            </w:r>
          </w:p>
        </w:tc>
        <w:tc>
          <w:tcPr>
            <w:tcW w:type="dxa" w:w="3780"/>
            <w:tcMar>
              <w:top w:w="75" w:type="dxa"/>
              <w:start w:w="100" w:type="dxa"/>
              <w:bottom w:w="75" w:type="dxa"/>
              <w:end w:w="100" w:type="dxa"/>
            </w:tcMar>
            <w:vAlign w:val="center"/>
          </w:tcPr>
          <w:p>
            <w:pPr>
              <w:spacing w:after="0" w:line="264" w:lineRule="auto"/>
            </w:pPr>
            <w:r>
              <w:rPr>
                <w:sz w:val="17"/>
              </w:rPr>
              <w:t>Confidence in the mean</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Coverage</w:t>
            </w:r>
          </w:p>
        </w:tc>
        <w:tc>
          <w:tcPr>
            <w:tcW w:type="dxa" w:w="3780"/>
            <w:tcMar>
              <w:top w:w="75" w:type="dxa"/>
              <w:start w:w="100" w:type="dxa"/>
              <w:bottom w:w="75" w:type="dxa"/>
              <w:end w:w="100" w:type="dxa"/>
            </w:tcMar>
            <w:vAlign w:val="center"/>
          </w:tcPr>
          <w:p>
            <w:pPr>
              <w:spacing w:after="0" w:line="264" w:lineRule="auto"/>
            </w:pPr>
            <w:r>
              <w:rPr>
                <w:sz w:val="17"/>
              </w:rPr>
              <w:t>How much eligible evidence matched</w:t>
            </w:r>
          </w:p>
        </w:tc>
        <w:tc>
          <w:tcPr>
            <w:tcW w:type="dxa" w:w="3780"/>
            <w:tcMar>
              <w:top w:w="75" w:type="dxa"/>
              <w:start w:w="100" w:type="dxa"/>
              <w:bottom w:w="75" w:type="dxa"/>
              <w:end w:w="100" w:type="dxa"/>
            </w:tcMar>
            <w:vAlign w:val="center"/>
          </w:tcPr>
          <w:p>
            <w:pPr>
              <w:spacing w:after="0" w:line="264" w:lineRule="auto"/>
            </w:pPr>
            <w:r>
              <w:rPr>
                <w:sz w:val="17"/>
              </w:rPr>
              <w:t>Probability the interpretation is correct</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Range</w:t>
            </w:r>
          </w:p>
        </w:tc>
        <w:tc>
          <w:tcPr>
            <w:tcW w:type="dxa" w:w="3780"/>
            <w:tcMar>
              <w:top w:w="75" w:type="dxa"/>
              <w:start w:w="100" w:type="dxa"/>
              <w:bottom w:w="75" w:type="dxa"/>
              <w:end w:w="100" w:type="dxa"/>
            </w:tcMar>
            <w:vAlign w:val="center"/>
          </w:tcPr>
          <w:p>
            <w:pPr>
              <w:spacing w:after="0" w:line="264" w:lineRule="auto"/>
            </w:pPr>
            <w:r>
              <w:rPr>
                <w:sz w:val="17"/>
              </w:rPr>
              <w:t>Observed maximum minus minimum</w:t>
            </w:r>
          </w:p>
        </w:tc>
        <w:tc>
          <w:tcPr>
            <w:tcW w:type="dxa" w:w="3780"/>
            <w:tcMar>
              <w:top w:w="75" w:type="dxa"/>
              <w:start w:w="100" w:type="dxa"/>
              <w:bottom w:w="75" w:type="dxa"/>
              <w:end w:w="100" w:type="dxa"/>
            </w:tcMar>
            <w:vAlign w:val="center"/>
          </w:tcPr>
          <w:p>
            <w:pPr>
              <w:spacing w:after="0" w:line="264" w:lineRule="auto"/>
            </w:pPr>
            <w:r>
              <w:rPr>
                <w:sz w:val="17"/>
              </w:rPr>
              <w:t>Effect size or significance</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Z-score</w:t>
            </w:r>
          </w:p>
        </w:tc>
        <w:tc>
          <w:tcPr>
            <w:tcW w:type="dxa" w:w="3780"/>
            <w:tcMar>
              <w:top w:w="75" w:type="dxa"/>
              <w:start w:w="100" w:type="dxa"/>
              <w:bottom w:w="75" w:type="dxa"/>
              <w:end w:w="100" w:type="dxa"/>
            </w:tcMar>
            <w:vAlign w:val="center"/>
          </w:tcPr>
          <w:p>
            <w:pPr>
              <w:spacing w:after="0" w:line="264" w:lineRule="auto"/>
            </w:pPr>
            <w:r>
              <w:rPr>
                <w:sz w:val="17"/>
              </w:rPr>
              <w:t>Relative position in a named reference distribution</w:t>
            </w:r>
          </w:p>
        </w:tc>
        <w:tc>
          <w:tcPr>
            <w:tcW w:type="dxa" w:w="3780"/>
            <w:tcMar>
              <w:top w:w="75" w:type="dxa"/>
              <w:start w:w="100" w:type="dxa"/>
              <w:bottom w:w="75" w:type="dxa"/>
              <w:end w:w="100" w:type="dxa"/>
            </w:tcMar>
            <w:vAlign w:val="center"/>
          </w:tcPr>
          <w:p>
            <w:pPr>
              <w:spacing w:after="0" w:line="264" w:lineRule="auto"/>
            </w:pPr>
            <w:r>
              <w:rPr>
                <w:sz w:val="17"/>
              </w:rPr>
              <w:t>Universal normality or value</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PCA coordinate</w:t>
            </w:r>
          </w:p>
        </w:tc>
        <w:tc>
          <w:tcPr>
            <w:tcW w:type="dxa" w:w="3780"/>
            <w:tcMar>
              <w:top w:w="75" w:type="dxa"/>
              <w:start w:w="100" w:type="dxa"/>
              <w:bottom w:w="75" w:type="dxa"/>
              <w:end w:w="100" w:type="dxa"/>
            </w:tcMar>
            <w:vAlign w:val="center"/>
          </w:tcPr>
          <w:p>
            <w:pPr>
              <w:spacing w:after="0" w:line="264" w:lineRule="auto"/>
            </w:pPr>
            <w:r>
              <w:rPr>
                <w:sz w:val="17"/>
              </w:rPr>
              <w:t>Composite two-dimensional display location</w:t>
            </w:r>
          </w:p>
        </w:tc>
        <w:tc>
          <w:tcPr>
            <w:tcW w:type="dxa" w:w="3780"/>
            <w:tcMar>
              <w:top w:w="75" w:type="dxa"/>
              <w:start w:w="100" w:type="dxa"/>
              <w:bottom w:w="75" w:type="dxa"/>
              <w:end w:w="100" w:type="dxa"/>
            </w:tcMar>
            <w:vAlign w:val="center"/>
          </w:tcPr>
          <w:p>
            <w:pPr>
              <w:spacing w:after="0" w:line="264" w:lineRule="auto"/>
            </w:pPr>
            <w:r>
              <w:rPr>
                <w:sz w:val="17"/>
              </w:rPr>
              <w:t>A single original feature</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Nearest centroid</w:t>
            </w:r>
          </w:p>
        </w:tc>
        <w:tc>
          <w:tcPr>
            <w:tcW w:type="dxa" w:w="3780"/>
            <w:tcMar>
              <w:top w:w="75" w:type="dxa"/>
              <w:start w:w="100" w:type="dxa"/>
              <w:bottom w:w="75" w:type="dxa"/>
              <w:end w:w="100" w:type="dxa"/>
            </w:tcMar>
            <w:vAlign w:val="center"/>
          </w:tcPr>
          <w:p>
            <w:pPr>
              <w:spacing w:after="0" w:line="264" w:lineRule="auto"/>
            </w:pPr>
            <w:r>
              <w:rPr>
                <w:sz w:val="17"/>
              </w:rPr>
              <w:t>Closest candidate summary under a named geometry</w:t>
            </w:r>
          </w:p>
        </w:tc>
        <w:tc>
          <w:tcPr>
            <w:tcW w:type="dxa" w:w="3780"/>
            <w:tcMar>
              <w:top w:w="75" w:type="dxa"/>
              <w:start w:w="100" w:type="dxa"/>
              <w:bottom w:w="75" w:type="dxa"/>
              <w:end w:w="100" w:type="dxa"/>
            </w:tcMar>
            <w:vAlign w:val="center"/>
          </w:tcPr>
          <w:p>
            <w:pPr>
              <w:spacing w:after="0" w:line="264" w:lineRule="auto"/>
            </w:pPr>
            <w:r>
              <w:rPr>
                <w:sz w:val="17"/>
              </w:rPr>
              <w:t>Diagnosis, authorship, or genre proof</w:t>
            </w:r>
          </w:p>
        </w:tc>
      </w:tr>
      <w:tr>
        <w:trPr>
          <w:cantSplit/>
          <w:trHeight w:hRule="atLeast"/>
        </w:trPr>
        <w:tc>
          <w:tcPr>
            <w:tcW w:type="dxa" w:w="1800"/>
            <w:tcMar>
              <w:top w:w="75" w:type="dxa"/>
              <w:start w:w="100" w:type="dxa"/>
              <w:bottom w:w="75" w:type="dxa"/>
              <w:end w:w="100" w:type="dxa"/>
            </w:tcMar>
            <w:vAlign w:val="center"/>
          </w:tcPr>
          <w:p>
            <w:pPr>
              <w:spacing w:after="0" w:line="264" w:lineRule="auto"/>
            </w:pPr>
            <w:r>
              <w:rPr>
                <w:sz w:val="17"/>
              </w:rPr>
              <w:t>VV-PRE</w:t>
            </w:r>
          </w:p>
        </w:tc>
        <w:tc>
          <w:tcPr>
            <w:tcW w:type="dxa" w:w="3780"/>
            <w:tcMar>
              <w:top w:w="75" w:type="dxa"/>
              <w:start w:w="100" w:type="dxa"/>
              <w:bottom w:w="75" w:type="dxa"/>
              <w:end w:w="100" w:type="dxa"/>
            </w:tcMar>
            <w:vAlign w:val="center"/>
          </w:tcPr>
          <w:p>
            <w:pPr>
              <w:spacing w:after="0" w:line="264" w:lineRule="auto"/>
            </w:pPr>
            <w:r>
              <w:rPr>
                <w:sz w:val="17"/>
              </w:rPr>
              <w:t>Experimental surface processing accessibility</w:t>
            </w:r>
          </w:p>
        </w:tc>
        <w:tc>
          <w:tcPr>
            <w:tcW w:type="dxa" w:w="3780"/>
            <w:tcMar>
              <w:top w:w="75" w:type="dxa"/>
              <w:start w:w="100" w:type="dxa"/>
              <w:bottom w:w="75" w:type="dxa"/>
              <w:end w:w="100" w:type="dxa"/>
            </w:tcMar>
            <w:vAlign w:val="center"/>
          </w:tcPr>
          <w:p>
            <w:pPr>
              <w:spacing w:after="0" w:line="264" w:lineRule="auto"/>
            </w:pPr>
            <w:r>
              <w:rPr>
                <w:sz w:val="17"/>
              </w:rPr>
              <w:t>Interpretive or aesthetic simplicity</w:t>
            </w:r>
          </w:p>
        </w:tc>
      </w:tr>
    </w:tbl>
    <w:p>
      <w:pPr>
        <w:pStyle w:val="Heading1"/>
      </w:pPr>
      <w:r>
        <w:t>Final Conceptual Assessment</w:t>
      </w:r>
    </w:p>
    <w:p>
      <w:r>
        <w:t>Complete all 36 items without consulting the evaluator key. Select the single best answer. The conceptual passing threshold is 29/36; the complete passing rule is: **80% overall (29/36), satisfactory corpus practical, and successful defense of every critical methodological choice**.</w:t>
      </w:r>
    </w:p>
    <w:tbl>
      <w:tblPr>
        <w:tblW w:type="dxa" w:w="9360"/>
        <w:jc w:val="center"/>
        <w:tblLook w:firstColumn="1" w:firstRow="1" w:lastColumn="0" w:lastRow="0" w:noHBand="0" w:noVBand="1" w:val="04A0"/>
        <w:tblLayout w:type="fixed"/>
        <w:tblBorders>
          <w:top w:val="single" w:sz="6" w:space="0" w:color="8A3B20"/>
          <w:left w:val="single" w:sz="6" w:space="0" w:color="8A3B20"/>
          <w:bottom w:val="single" w:sz="6" w:space="0" w:color="8A3B20"/>
          <w:right w:val="single" w:sz="6" w:space="0" w:color="8A3B20"/>
          <w:insideH w:val="single" w:sz="6" w:space="0" w:color="8A3B20"/>
          <w:insideV w:val="single" w:sz="6" w:space="0" w:color="8A3B20"/>
        </w:tblBorders>
        <w:tblCaption w:val="Caution callout"/>
        <w:tblDescription w:val="Passing the conceptual assessment alone does not complete the course. The applied assignment and all critical-domain requirements remain mandatory."/>
      </w:tblPr>
      <w:tblGrid>
        <w:gridCol w:w="9360"/>
      </w:tblGrid>
      <w:tr>
        <w:trPr>
          <w:tblHeader w:val="true"/>
        </w:trPr>
        <w:tc>
          <w:tcPr>
            <w:tcW w:type="dxa" w:w="9360"/>
            <w:shd w:fill="F4E9E3"/>
            <w:tcMar>
              <w:top w:w="140" w:type="dxa"/>
              <w:start w:w="160" w:type="dxa"/>
              <w:bottom w:w="140" w:type="dxa"/>
              <w:end w:w="160" w:type="dxa"/>
            </w:tcMar>
          </w:tcPr>
          <w:p>
            <w:pPr>
              <w:spacing w:after="0"/>
            </w:pPr>
            <w:r>
              <w:rPr>
                <w:b/>
                <w:color w:val="8A3B20"/>
              </w:rPr>
              <w:t xml:space="preserve">CAUTION: </w:t>
            </w:r>
            <w:r>
              <w:t>Passing the conceptual assessment alone does not complete the course. The applied assignment and all critical-domain requirements remain mandatory.</w:t>
            </w:r>
          </w:p>
        </w:tc>
      </w:tr>
    </w:tbl>
    <w:p>
      <w:pPr>
        <w:spacing w:after="0"/>
      </w:pP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Learner answer sheet"/>
        <w:tblDescription w:val="Blank response grid for the final conceptual assessment."/>
      </w:tblPr>
      <w:tblGrid>
        <w:gridCol w:w="1560"/>
        <w:gridCol w:w="1560"/>
        <w:gridCol w:w="1560"/>
        <w:gridCol w:w="1560"/>
        <w:gridCol w:w="1560"/>
        <w:gridCol w:w="1560"/>
      </w:tblGrid>
      <w:tr>
        <w:trPr>
          <w:cantSplit/>
          <w:trHeight w:hRule="atLeast"/>
          <w:tblHeader w:val="true"/>
        </w:trPr>
        <w:tc>
          <w:tcPr>
            <w:tcW w:type="dxa" w:w="700"/>
            <w:tcMar>
              <w:top w:w="75" w:type="dxa"/>
              <w:start w:w="100" w:type="dxa"/>
              <w:bottom w:w="75" w:type="dxa"/>
              <w:end w:w="100" w:type="dxa"/>
            </w:tcMar>
            <w:vAlign w:val="center"/>
            <w:shd w:fill="E8EEF5"/>
          </w:tcPr>
          <w:p>
            <w:pPr>
              <w:spacing w:after="0" w:line="264" w:lineRule="auto"/>
            </w:pPr>
            <w:r>
              <w:rPr>
                <w:b/>
                <w:color w:val="1F4D78"/>
                <w:sz w:val="17"/>
              </w:rPr>
              <w:t>Item</w:t>
            </w:r>
          </w:p>
        </w:tc>
        <w:tc>
          <w:tcPr>
            <w:tcW w:type="dxa" w:w="1800"/>
            <w:tcMar>
              <w:top w:w="75" w:type="dxa"/>
              <w:start w:w="100" w:type="dxa"/>
              <w:bottom w:w="75" w:type="dxa"/>
              <w:end w:w="100" w:type="dxa"/>
            </w:tcMar>
            <w:vAlign w:val="center"/>
            <w:shd w:fill="E8EEF5"/>
          </w:tcPr>
          <w:p>
            <w:pPr>
              <w:spacing w:after="0" w:line="264" w:lineRule="auto"/>
            </w:pPr>
            <w:r>
              <w:rPr>
                <w:b/>
                <w:color w:val="1F4D78"/>
                <w:sz w:val="17"/>
              </w:rPr>
              <w:t>Response</w:t>
            </w:r>
          </w:p>
        </w:tc>
        <w:tc>
          <w:tcPr>
            <w:tcW w:type="dxa" w:w="1100"/>
            <w:tcMar>
              <w:top w:w="75" w:type="dxa"/>
              <w:start w:w="100" w:type="dxa"/>
              <w:bottom w:w="75" w:type="dxa"/>
              <w:end w:w="100" w:type="dxa"/>
            </w:tcMar>
            <w:vAlign w:val="center"/>
            <w:shd w:fill="E8EEF5"/>
          </w:tcPr>
          <w:p>
            <w:pPr>
              <w:spacing w:after="0" w:line="264" w:lineRule="auto"/>
            </w:pPr>
            <w:r>
              <w:rPr>
                <w:b/>
                <w:color w:val="1F4D78"/>
                <w:sz w:val="17"/>
              </w:rPr>
              <w:t>Module</w:t>
            </w:r>
          </w:p>
        </w:tc>
        <w:tc>
          <w:tcPr>
            <w:tcW w:type="dxa" w:w="700"/>
            <w:tcMar>
              <w:top w:w="75" w:type="dxa"/>
              <w:start w:w="100" w:type="dxa"/>
              <w:bottom w:w="75" w:type="dxa"/>
              <w:end w:w="100" w:type="dxa"/>
            </w:tcMar>
            <w:vAlign w:val="center"/>
            <w:shd w:fill="E8EEF5"/>
          </w:tcPr>
          <w:p>
            <w:pPr>
              <w:spacing w:after="0" w:line="264" w:lineRule="auto"/>
            </w:pPr>
            <w:r>
              <w:rPr>
                <w:b/>
                <w:color w:val="1F4D78"/>
                <w:sz w:val="17"/>
              </w:rPr>
              <w:t>Item</w:t>
            </w:r>
          </w:p>
        </w:tc>
        <w:tc>
          <w:tcPr>
            <w:tcW w:type="dxa" w:w="1800"/>
            <w:tcMar>
              <w:top w:w="75" w:type="dxa"/>
              <w:start w:w="100" w:type="dxa"/>
              <w:bottom w:w="75" w:type="dxa"/>
              <w:end w:w="100" w:type="dxa"/>
            </w:tcMar>
            <w:vAlign w:val="center"/>
            <w:shd w:fill="E8EEF5"/>
          </w:tcPr>
          <w:p>
            <w:pPr>
              <w:spacing w:after="0" w:line="264" w:lineRule="auto"/>
            </w:pPr>
            <w:r>
              <w:rPr>
                <w:b/>
                <w:color w:val="1F4D78"/>
                <w:sz w:val="17"/>
              </w:rPr>
              <w:t>Response</w:t>
            </w:r>
          </w:p>
        </w:tc>
        <w:tc>
          <w:tcPr>
            <w:tcW w:type="dxa" w:w="3260"/>
            <w:tcMar>
              <w:top w:w="75" w:type="dxa"/>
              <w:start w:w="100" w:type="dxa"/>
              <w:bottom w:w="75" w:type="dxa"/>
              <w:end w:w="100" w:type="dxa"/>
            </w:tcMar>
            <w:vAlign w:val="center"/>
            <w:shd w:fill="E8EEF5"/>
          </w:tcPr>
          <w:p>
            <w:pPr>
              <w:spacing w:after="0" w:line="264" w:lineRule="auto"/>
            </w:pPr>
            <w:r>
              <w:rPr>
                <w:b/>
                <w:color w:val="1F4D78"/>
                <w:sz w:val="17"/>
              </w:rPr>
              <w:t>Module</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L2.1</w:t>
            </w:r>
          </w:p>
        </w:tc>
        <w:tc>
          <w:tcPr>
            <w:tcW w:type="dxa" w:w="700"/>
            <w:tcMar>
              <w:top w:w="75" w:type="dxa"/>
              <w:start w:w="100" w:type="dxa"/>
              <w:bottom w:w="75" w:type="dxa"/>
              <w:end w:w="100" w:type="dxa"/>
            </w:tcMar>
            <w:vAlign w:val="center"/>
          </w:tcPr>
          <w:p>
            <w:pPr>
              <w:spacing w:after="0" w:line="264" w:lineRule="auto"/>
            </w:pPr>
            <w:r>
              <w:rPr>
                <w:sz w:val="17"/>
              </w:rPr>
              <w:t>19</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L2.7</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L2.1</w:t>
            </w:r>
          </w:p>
        </w:tc>
        <w:tc>
          <w:tcPr>
            <w:tcW w:type="dxa" w:w="700"/>
            <w:tcMar>
              <w:top w:w="75" w:type="dxa"/>
              <w:start w:w="100" w:type="dxa"/>
              <w:bottom w:w="75" w:type="dxa"/>
              <w:end w:w="100" w:type="dxa"/>
            </w:tcMar>
            <w:vAlign w:val="center"/>
          </w:tcPr>
          <w:p>
            <w:pPr>
              <w:spacing w:after="0" w:line="264" w:lineRule="auto"/>
            </w:pPr>
            <w:r>
              <w:rPr>
                <w:sz w:val="17"/>
              </w:rPr>
              <w:t>20</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L2.7</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L2.1</w:t>
            </w:r>
          </w:p>
        </w:tc>
        <w:tc>
          <w:tcPr>
            <w:tcW w:type="dxa" w:w="700"/>
            <w:tcMar>
              <w:top w:w="75" w:type="dxa"/>
              <w:start w:w="100" w:type="dxa"/>
              <w:bottom w:w="75" w:type="dxa"/>
              <w:end w:w="100" w:type="dxa"/>
            </w:tcMar>
            <w:vAlign w:val="center"/>
          </w:tcPr>
          <w:p>
            <w:pPr>
              <w:spacing w:after="0" w:line="264" w:lineRule="auto"/>
            </w:pPr>
            <w:r>
              <w:rPr>
                <w:sz w:val="17"/>
              </w:rPr>
              <w:t>21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L2.7</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L2.2</w:t>
            </w:r>
          </w:p>
        </w:tc>
        <w:tc>
          <w:tcPr>
            <w:tcW w:type="dxa" w:w="700"/>
            <w:tcMar>
              <w:top w:w="75" w:type="dxa"/>
              <w:start w:w="100" w:type="dxa"/>
              <w:bottom w:w="75" w:type="dxa"/>
              <w:end w:w="100" w:type="dxa"/>
            </w:tcMar>
            <w:vAlign w:val="center"/>
          </w:tcPr>
          <w:p>
            <w:pPr>
              <w:spacing w:after="0" w:line="264" w:lineRule="auto"/>
            </w:pPr>
            <w:r>
              <w:rPr>
                <w:sz w:val="17"/>
              </w:rPr>
              <w:t>22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L2.8</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L2.2</w:t>
            </w:r>
          </w:p>
        </w:tc>
        <w:tc>
          <w:tcPr>
            <w:tcW w:type="dxa" w:w="700"/>
            <w:tcMar>
              <w:top w:w="75" w:type="dxa"/>
              <w:start w:w="100" w:type="dxa"/>
              <w:bottom w:w="75" w:type="dxa"/>
              <w:end w:w="100" w:type="dxa"/>
            </w:tcMar>
            <w:vAlign w:val="center"/>
          </w:tcPr>
          <w:p>
            <w:pPr>
              <w:spacing w:after="0" w:line="264" w:lineRule="auto"/>
            </w:pPr>
            <w:r>
              <w:rPr>
                <w:sz w:val="17"/>
              </w:rPr>
              <w:t>23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L2.8</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L2.2</w:t>
            </w:r>
          </w:p>
        </w:tc>
        <w:tc>
          <w:tcPr>
            <w:tcW w:type="dxa" w:w="700"/>
            <w:tcMar>
              <w:top w:w="75" w:type="dxa"/>
              <w:start w:w="100" w:type="dxa"/>
              <w:bottom w:w="75" w:type="dxa"/>
              <w:end w:w="100" w:type="dxa"/>
            </w:tcMar>
            <w:vAlign w:val="center"/>
          </w:tcPr>
          <w:p>
            <w:pPr>
              <w:spacing w:after="0" w:line="264" w:lineRule="auto"/>
            </w:pPr>
            <w:r>
              <w:rPr>
                <w:sz w:val="17"/>
              </w:rPr>
              <w:t>24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L2.8</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7</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L2.3</w:t>
            </w:r>
          </w:p>
        </w:tc>
        <w:tc>
          <w:tcPr>
            <w:tcW w:type="dxa" w:w="700"/>
            <w:tcMar>
              <w:top w:w="75" w:type="dxa"/>
              <w:start w:w="100" w:type="dxa"/>
              <w:bottom w:w="75" w:type="dxa"/>
              <w:end w:w="100" w:type="dxa"/>
            </w:tcMar>
            <w:vAlign w:val="center"/>
          </w:tcPr>
          <w:p>
            <w:pPr>
              <w:spacing w:after="0" w:line="264" w:lineRule="auto"/>
            </w:pPr>
            <w:r>
              <w:rPr>
                <w:sz w:val="17"/>
              </w:rPr>
              <w:t>25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L2.9</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8</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L2.3</w:t>
            </w:r>
          </w:p>
        </w:tc>
        <w:tc>
          <w:tcPr>
            <w:tcW w:type="dxa" w:w="700"/>
            <w:tcMar>
              <w:top w:w="75" w:type="dxa"/>
              <w:start w:w="100" w:type="dxa"/>
              <w:bottom w:w="75" w:type="dxa"/>
              <w:end w:w="100" w:type="dxa"/>
            </w:tcMar>
            <w:vAlign w:val="center"/>
          </w:tcPr>
          <w:p>
            <w:pPr>
              <w:spacing w:after="0" w:line="264" w:lineRule="auto"/>
            </w:pPr>
            <w:r>
              <w:rPr>
                <w:sz w:val="17"/>
              </w:rPr>
              <w:t>26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L2.9</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9</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L2.3</w:t>
            </w:r>
          </w:p>
        </w:tc>
        <w:tc>
          <w:tcPr>
            <w:tcW w:type="dxa" w:w="700"/>
            <w:tcMar>
              <w:top w:w="75" w:type="dxa"/>
              <w:start w:w="100" w:type="dxa"/>
              <w:bottom w:w="75" w:type="dxa"/>
              <w:end w:w="100" w:type="dxa"/>
            </w:tcMar>
            <w:vAlign w:val="center"/>
          </w:tcPr>
          <w:p>
            <w:pPr>
              <w:spacing w:after="0" w:line="264" w:lineRule="auto"/>
            </w:pPr>
            <w:r>
              <w:rPr>
                <w:sz w:val="17"/>
              </w:rPr>
              <w:t>27</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L2.9</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10</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L2.4</w:t>
            </w:r>
          </w:p>
        </w:tc>
        <w:tc>
          <w:tcPr>
            <w:tcW w:type="dxa" w:w="700"/>
            <w:tcMar>
              <w:top w:w="75" w:type="dxa"/>
              <w:start w:w="100" w:type="dxa"/>
              <w:bottom w:w="75" w:type="dxa"/>
              <w:end w:w="100" w:type="dxa"/>
            </w:tcMar>
            <w:vAlign w:val="center"/>
          </w:tcPr>
          <w:p>
            <w:pPr>
              <w:spacing w:after="0" w:line="264" w:lineRule="auto"/>
            </w:pPr>
            <w:r>
              <w:rPr>
                <w:sz w:val="17"/>
              </w:rPr>
              <w:t>28</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L2.10</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L2.4</w:t>
            </w:r>
          </w:p>
        </w:tc>
        <w:tc>
          <w:tcPr>
            <w:tcW w:type="dxa" w:w="700"/>
            <w:tcMar>
              <w:top w:w="75" w:type="dxa"/>
              <w:start w:w="100" w:type="dxa"/>
              <w:bottom w:w="75" w:type="dxa"/>
              <w:end w:w="100" w:type="dxa"/>
            </w:tcMar>
            <w:vAlign w:val="center"/>
          </w:tcPr>
          <w:p>
            <w:pPr>
              <w:spacing w:after="0" w:line="264" w:lineRule="auto"/>
            </w:pPr>
            <w:r>
              <w:rPr>
                <w:sz w:val="17"/>
              </w:rPr>
              <w:t>29</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L2.10</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L2.4</w:t>
            </w:r>
          </w:p>
        </w:tc>
        <w:tc>
          <w:tcPr>
            <w:tcW w:type="dxa" w:w="700"/>
            <w:tcMar>
              <w:top w:w="75" w:type="dxa"/>
              <w:start w:w="100" w:type="dxa"/>
              <w:bottom w:w="75" w:type="dxa"/>
              <w:end w:w="100" w:type="dxa"/>
            </w:tcMar>
            <w:vAlign w:val="center"/>
          </w:tcPr>
          <w:p>
            <w:pPr>
              <w:spacing w:after="0" w:line="264" w:lineRule="auto"/>
            </w:pPr>
            <w:r>
              <w:rPr>
                <w:sz w:val="17"/>
              </w:rPr>
              <w:t>30</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L2.10</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L2.5</w:t>
            </w:r>
          </w:p>
        </w:tc>
        <w:tc>
          <w:tcPr>
            <w:tcW w:type="dxa" w:w="700"/>
            <w:tcMar>
              <w:top w:w="75" w:type="dxa"/>
              <w:start w:w="100" w:type="dxa"/>
              <w:bottom w:w="75" w:type="dxa"/>
              <w:end w:w="100" w:type="dxa"/>
            </w:tcMar>
            <w:vAlign w:val="center"/>
          </w:tcPr>
          <w:p>
            <w:pPr>
              <w:spacing w:after="0" w:line="264" w:lineRule="auto"/>
            </w:pPr>
            <w:r>
              <w:rPr>
                <w:sz w:val="17"/>
              </w:rPr>
              <w:t>31</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L2.11</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L2.5</w:t>
            </w:r>
          </w:p>
        </w:tc>
        <w:tc>
          <w:tcPr>
            <w:tcW w:type="dxa" w:w="700"/>
            <w:tcMar>
              <w:top w:w="75" w:type="dxa"/>
              <w:start w:w="100" w:type="dxa"/>
              <w:bottom w:w="75" w:type="dxa"/>
              <w:end w:w="100" w:type="dxa"/>
            </w:tcMar>
            <w:vAlign w:val="center"/>
          </w:tcPr>
          <w:p>
            <w:pPr>
              <w:spacing w:after="0" w:line="264" w:lineRule="auto"/>
            </w:pPr>
            <w:r>
              <w:rPr>
                <w:sz w:val="17"/>
              </w:rPr>
              <w:t>32</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L2.11</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L2.5</w:t>
            </w:r>
          </w:p>
        </w:tc>
        <w:tc>
          <w:tcPr>
            <w:tcW w:type="dxa" w:w="700"/>
            <w:tcMar>
              <w:top w:w="75" w:type="dxa"/>
              <w:start w:w="100" w:type="dxa"/>
              <w:bottom w:w="75" w:type="dxa"/>
              <w:end w:w="100" w:type="dxa"/>
            </w:tcMar>
            <w:vAlign w:val="center"/>
          </w:tcPr>
          <w:p>
            <w:pPr>
              <w:spacing w:after="0" w:line="264" w:lineRule="auto"/>
            </w:pPr>
            <w:r>
              <w:rPr>
                <w:sz w:val="17"/>
              </w:rPr>
              <w:t>33</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L2.11</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L2.6</w:t>
            </w:r>
          </w:p>
        </w:tc>
        <w:tc>
          <w:tcPr>
            <w:tcW w:type="dxa" w:w="700"/>
            <w:tcMar>
              <w:top w:w="75" w:type="dxa"/>
              <w:start w:w="100" w:type="dxa"/>
              <w:bottom w:w="75" w:type="dxa"/>
              <w:end w:w="100" w:type="dxa"/>
            </w:tcMar>
            <w:vAlign w:val="center"/>
          </w:tcPr>
          <w:p>
            <w:pPr>
              <w:spacing w:after="0" w:line="264" w:lineRule="auto"/>
            </w:pPr>
            <w:r>
              <w:rPr>
                <w:sz w:val="17"/>
              </w:rPr>
              <w:t>34</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L2.12</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17</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L2.6</w:t>
            </w:r>
          </w:p>
        </w:tc>
        <w:tc>
          <w:tcPr>
            <w:tcW w:type="dxa" w:w="700"/>
            <w:tcMar>
              <w:top w:w="75" w:type="dxa"/>
              <w:start w:w="100" w:type="dxa"/>
              <w:bottom w:w="75" w:type="dxa"/>
              <w:end w:w="100" w:type="dxa"/>
            </w:tcMar>
            <w:vAlign w:val="center"/>
          </w:tcPr>
          <w:p>
            <w:pPr>
              <w:spacing w:after="0" w:line="264" w:lineRule="auto"/>
            </w:pPr>
            <w:r>
              <w:rPr>
                <w:sz w:val="17"/>
              </w:rPr>
              <w:t>35</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L2.12</w:t>
            </w:r>
          </w:p>
        </w:tc>
      </w:tr>
      <w:tr>
        <w:trPr>
          <w:cantSplit/>
          <w:trHeight w:hRule="atLeast"/>
        </w:trPr>
        <w:tc>
          <w:tcPr>
            <w:tcW w:type="dxa" w:w="700"/>
            <w:tcMar>
              <w:top w:w="75" w:type="dxa"/>
              <w:start w:w="100" w:type="dxa"/>
              <w:bottom w:w="75" w:type="dxa"/>
              <w:end w:w="100" w:type="dxa"/>
            </w:tcMar>
            <w:vAlign w:val="center"/>
          </w:tcPr>
          <w:p>
            <w:pPr>
              <w:spacing w:after="0" w:line="264" w:lineRule="auto"/>
            </w:pPr>
            <w:r>
              <w:rPr>
                <w:sz w:val="17"/>
              </w:rPr>
              <w:t>18</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1100"/>
            <w:tcMar>
              <w:top w:w="75" w:type="dxa"/>
              <w:start w:w="100" w:type="dxa"/>
              <w:bottom w:w="75" w:type="dxa"/>
              <w:end w:w="100" w:type="dxa"/>
            </w:tcMar>
            <w:vAlign w:val="center"/>
          </w:tcPr>
          <w:p>
            <w:pPr>
              <w:spacing w:after="0" w:line="264" w:lineRule="auto"/>
            </w:pPr>
            <w:r>
              <w:rPr>
                <w:sz w:val="17"/>
              </w:rPr>
              <w:t>L2.6</w:t>
            </w:r>
          </w:p>
        </w:tc>
        <w:tc>
          <w:tcPr>
            <w:tcW w:type="dxa" w:w="700"/>
            <w:tcMar>
              <w:top w:w="75" w:type="dxa"/>
              <w:start w:w="100" w:type="dxa"/>
              <w:bottom w:w="75" w:type="dxa"/>
              <w:end w:w="100" w:type="dxa"/>
            </w:tcMar>
            <w:vAlign w:val="center"/>
          </w:tcPr>
          <w:p>
            <w:pPr>
              <w:spacing w:after="0" w:line="264" w:lineRule="auto"/>
            </w:pPr>
            <w:r>
              <w:rPr>
                <w:sz w:val="17"/>
              </w:rPr>
              <w:t>36</w:t>
            </w:r>
          </w:p>
        </w:tc>
        <w:tc>
          <w:tcPr>
            <w:tcW w:type="dxa" w:w="1800"/>
            <w:tcMar>
              <w:top w:w="75" w:type="dxa"/>
              <w:start w:w="100" w:type="dxa"/>
              <w:bottom w:w="75" w:type="dxa"/>
              <w:end w:w="100" w:type="dxa"/>
            </w:tcMar>
            <w:vAlign w:val="center"/>
          </w:tcPr>
          <w:p>
            <w:pPr>
              <w:spacing w:after="0" w:line="264" w:lineRule="auto"/>
            </w:pPr>
            <w:r>
              <w:rPr>
                <w:sz w:val="17"/>
              </w:rPr>
              <w:t>A  B  C  D</w:t>
            </w:r>
          </w:p>
        </w:tc>
        <w:tc>
          <w:tcPr>
            <w:tcW w:type="dxa" w:w="3260"/>
            <w:tcMar>
              <w:top w:w="75" w:type="dxa"/>
              <w:start w:w="100" w:type="dxa"/>
              <w:bottom w:w="75" w:type="dxa"/>
              <w:end w:w="100" w:type="dxa"/>
            </w:tcMar>
            <w:vAlign w:val="center"/>
          </w:tcPr>
          <w:p>
            <w:pPr>
              <w:spacing w:after="0" w:line="264" w:lineRule="auto"/>
            </w:pPr>
            <w:r>
              <w:rPr>
                <w:sz w:val="17"/>
              </w:rPr>
              <w:t>L2.12</w:t>
            </w:r>
          </w:p>
        </w:tc>
      </w:tr>
    </w:tbl>
    <w:p>
      <w:pPr>
        <w:keepNext/>
        <w:spacing w:before="160"/>
      </w:pPr>
      <w:r>
        <w:rPr>
          <w:b/>
        </w:rPr>
        <w:t>1. A study compares 'Romantic' and 'Modernist' diction using every poem that happened to be available in two online folders, without edition, date, or author-balance rules. What is the most defensible next action?</w:t>
      </w:r>
    </w:p>
    <w:p>
      <w:pPr>
        <w:keepLines/>
        <w:spacing w:after="60"/>
        <w:ind w:left="576" w:hanging="360"/>
      </w:pPr>
      <w:r>
        <w:rPr>
          <w:b/>
        </w:rPr>
        <w:t xml:space="preserve">A. </w:t>
      </w:r>
      <w:r>
        <w:t>Treat any large folder of poems as representative because its token count is high.</w:t>
      </w:r>
    </w:p>
    <w:p>
      <w:pPr>
        <w:keepLines/>
        <w:spacing w:after="60"/>
        <w:ind w:left="576" w:hanging="360"/>
      </w:pPr>
      <w:r>
        <w:rPr>
          <w:b/>
        </w:rPr>
        <w:t xml:space="preserve">B. </w:t>
      </w:r>
      <w:r>
        <w:t>Use tokens as independent observations for a claim about authors.</w:t>
      </w:r>
    </w:p>
    <w:p>
      <w:pPr>
        <w:keepLines/>
        <w:spacing w:after="60"/>
        <w:ind w:left="576" w:hanging="360"/>
      </w:pPr>
      <w:r>
        <w:rPr>
          <w:b/>
        </w:rPr>
        <w:t xml:space="preserve">C. </w:t>
      </w:r>
      <w:r>
        <w:t>Change inclusion rules after seeing which version produces the desired contrast.</w:t>
      </w:r>
    </w:p>
    <w:p>
      <w:pPr>
        <w:keepLines/>
        <w:spacing w:after="60"/>
        <w:ind w:left="576" w:hanging="360"/>
      </w:pPr>
      <w:r>
        <w:rPr>
          <w:b/>
        </w:rPr>
        <w:t xml:space="preserve">D. </w:t>
      </w:r>
      <w:r>
        <w:t>Define a documented sampling frame, unit of analysis, inclusion rules, group structure, and sensitivity checks before interpreting corpus differences.</w:t>
      </w:r>
    </w:p>
    <w:p>
      <w:pPr>
        <w:keepNext/>
        <w:spacing w:before="160"/>
      </w:pPr>
      <w:r>
        <w:rPr>
          <w:b/>
        </w:rPr>
        <w:t>2. Which principle is essential when applying Corpus Design and Research Questions?</w:t>
      </w:r>
    </w:p>
    <w:p>
      <w:pPr>
        <w:keepLines/>
        <w:spacing w:after="60"/>
        <w:ind w:left="576" w:hanging="360"/>
      </w:pPr>
      <w:r>
        <w:rPr>
          <w:b/>
        </w:rPr>
        <w:t xml:space="preserve">A. </w:t>
      </w:r>
      <w:r>
        <w:t>Use tokens as independent observations for a claim about authors.</w:t>
      </w:r>
    </w:p>
    <w:p>
      <w:pPr>
        <w:keepLines/>
        <w:spacing w:after="60"/>
        <w:ind w:left="576" w:hanging="360"/>
      </w:pPr>
      <w:r>
        <w:rPr>
          <w:b/>
        </w:rPr>
        <w:t xml:space="preserve">B. </w:t>
      </w:r>
      <w:r>
        <w:t>A sufficiently large numerical value can replace source, denominator, and limitation reporting.</w:t>
      </w:r>
    </w:p>
    <w:p>
      <w:pPr>
        <w:keepLines/>
        <w:spacing w:after="60"/>
        <w:ind w:left="576" w:hanging="360"/>
      </w:pPr>
      <w:r>
        <w:rPr>
          <w:b/>
        </w:rPr>
        <w:t xml:space="preserve">C. </w:t>
      </w:r>
      <w:r>
        <w:t>Corpus-level claims cannot be broader than the corpus design and sampling frame support.</w:t>
      </w:r>
    </w:p>
    <w:p>
      <w:pPr>
        <w:keepLines/>
        <w:spacing w:after="60"/>
        <w:ind w:left="576" w:hanging="360"/>
      </w:pPr>
      <w:r>
        <w:rPr>
          <w:b/>
        </w:rPr>
        <w:t xml:space="preserve">D. </w:t>
      </w:r>
      <w:r>
        <w:t>Treat any large folder of poems as representative because its token count is high.</w:t>
      </w:r>
    </w:p>
    <w:p>
      <w:pPr>
        <w:keepNext/>
        <w:spacing w:before="160"/>
      </w:pPr>
      <w:r>
        <w:rPr>
          <w:b/>
        </w:rPr>
        <w:t>3. Which reporting practice best preserves the meaning of evidence in Corpus Design and Research Questions?</w:t>
      </w:r>
    </w:p>
    <w:p>
      <w:pPr>
        <w:keepLines/>
        <w:spacing w:after="60"/>
        <w:ind w:left="576" w:hanging="360"/>
      </w:pPr>
      <w:r>
        <w:rPr>
          <w:b/>
        </w:rPr>
        <w:t xml:space="preserve">A. </w:t>
      </w:r>
      <w:r>
        <w:t>Omit configuration details so readers can focus on the interpretation.</w:t>
      </w:r>
    </w:p>
    <w:p>
      <w:pPr>
        <w:keepLines/>
        <w:spacing w:after="60"/>
        <w:ind w:left="576" w:hanging="360"/>
      </w:pPr>
      <w:r>
        <w:rPr>
          <w:b/>
        </w:rPr>
        <w:t xml:space="preserve">B. </w:t>
      </w:r>
      <w:r>
        <w:t>Limit claims to the sampled and documented population.</w:t>
      </w:r>
    </w:p>
    <w:p>
      <w:pPr>
        <w:keepLines/>
        <w:spacing w:after="60"/>
        <w:ind w:left="576" w:hanging="360"/>
      </w:pPr>
      <w:r>
        <w:rPr>
          <w:b/>
        </w:rPr>
        <w:t xml:space="preserve">C. </w:t>
      </w:r>
      <w:r>
        <w:t>Public-domain availability is not random sampling.</w:t>
      </w:r>
    </w:p>
    <w:p>
      <w:pPr>
        <w:keepLines/>
        <w:spacing w:after="60"/>
        <w:ind w:left="576" w:hanging="360"/>
      </w:pPr>
      <w:r>
        <w:rPr>
          <w:b/>
        </w:rPr>
        <w:t xml:space="preserve">D. </w:t>
      </w:r>
      <w:r>
        <w:t>Change inclusion rules after seeing which version produces the desired contrast.</w:t>
      </w:r>
    </w:p>
    <w:p>
      <w:pPr>
        <w:keepNext/>
        <w:spacing w:before="160"/>
      </w:pPr>
      <w:r>
        <w:rPr>
          <w:b/>
        </w:rPr>
        <w:t>4. A researcher copies poems from PDFs into `.txt`, leaves page headers and line-end hyphenation, and assumes VerseVAD will distinguish OCR artifacts from poetic language. What is the most defensible next action?</w:t>
      </w:r>
    </w:p>
    <w:p>
      <w:pPr>
        <w:keepLines/>
        <w:spacing w:after="60"/>
        <w:ind w:left="576" w:hanging="360"/>
      </w:pPr>
      <w:r>
        <w:rPr>
          <w:b/>
        </w:rPr>
        <w:t xml:space="preserve">A. </w:t>
      </w:r>
      <w:r>
        <w:t>Convert and validate externally, import only documented UTF-8 `.txt` files, preserve poem structure, and retain source/version provenance for every transformation.</w:t>
      </w:r>
    </w:p>
    <w:p>
      <w:pPr>
        <w:keepLines/>
        <w:spacing w:after="60"/>
        <w:ind w:left="576" w:hanging="360"/>
      </w:pPr>
      <w:r>
        <w:rPr>
          <w:b/>
        </w:rPr>
        <w:t xml:space="preserve">B. </w:t>
      </w:r>
      <w:r>
        <w:t>Upload PDFs directly and assume page furniture will be ignored.</w:t>
      </w:r>
    </w:p>
    <w:p>
      <w:pPr>
        <w:keepLines/>
        <w:spacing w:after="60"/>
        <w:ind w:left="576" w:hanging="360"/>
      </w:pPr>
      <w:r>
        <w:rPr>
          <w:b/>
        </w:rPr>
        <w:t xml:space="preserve">C. </w:t>
      </w:r>
      <w:r>
        <w:t>Remove line breaks to simplify tokenization.</w:t>
      </w:r>
    </w:p>
    <w:p>
      <w:pPr>
        <w:keepLines/>
        <w:spacing w:after="60"/>
        <w:ind w:left="576" w:hanging="360"/>
      </w:pPr>
      <w:r>
        <w:rPr>
          <w:b/>
        </w:rPr>
        <w:t xml:space="preserve">D. </w:t>
      </w:r>
      <w:r>
        <w:t>Overwrite corrected texts so earlier analytical results appear current.</w:t>
      </w:r>
    </w:p>
    <w:p>
      <w:pPr>
        <w:keepNext/>
        <w:spacing w:before="160"/>
      </w:pPr>
      <w:r>
        <w:rPr>
          <w:b/>
        </w:rPr>
        <w:t>5. Which principle is essential when applying Corpus Ingestion, Cleaning, and Segmentation?</w:t>
      </w:r>
    </w:p>
    <w:p>
      <w:pPr>
        <w:keepLines/>
        <w:spacing w:after="60"/>
        <w:ind w:left="576" w:hanging="360"/>
      </w:pPr>
      <w:r>
        <w:rPr>
          <w:b/>
        </w:rPr>
        <w:t xml:space="preserve">A. </w:t>
      </w:r>
      <w:r>
        <w:t>Upload PDFs directly and assume page furniture will be ignored.</w:t>
      </w:r>
    </w:p>
    <w:p>
      <w:pPr>
        <w:keepLines/>
        <w:spacing w:after="60"/>
        <w:ind w:left="576" w:hanging="360"/>
      </w:pPr>
      <w:r>
        <w:rPr>
          <w:b/>
        </w:rPr>
        <w:t xml:space="preserve">B. </w:t>
      </w:r>
      <w:r>
        <w:t>Remove line breaks to simplify tokenization.</w:t>
      </w:r>
    </w:p>
    <w:p>
      <w:pPr>
        <w:keepLines/>
        <w:spacing w:after="60"/>
        <w:ind w:left="576" w:hanging="360"/>
      </w:pPr>
      <w:r>
        <w:rPr>
          <w:b/>
        </w:rPr>
        <w:t xml:space="preserve">C. </w:t>
      </w:r>
      <w:r>
        <w:t>A sufficiently large numerical value can replace source, denominator, and limitation reporting.</w:t>
      </w:r>
    </w:p>
    <w:p>
      <w:pPr>
        <w:keepLines/>
        <w:spacing w:after="60"/>
        <w:ind w:left="576" w:hanging="360"/>
      </w:pPr>
      <w:r>
        <w:rPr>
          <w:b/>
        </w:rPr>
        <w:t xml:space="preserve">D. </w:t>
      </w:r>
      <w:r>
        <w:t>Never treat unsupported source conversion or cleaning as an invisible part of VerseVAD analysis.</w:t>
      </w:r>
    </w:p>
    <w:p>
      <w:pPr>
        <w:keepNext/>
        <w:spacing w:before="160"/>
      </w:pPr>
      <w:r>
        <w:rPr>
          <w:b/>
        </w:rPr>
        <w:t>6. Which reporting practice best preserves the meaning of evidence in Corpus Ingestion, Cleaning, and Segmentation?</w:t>
      </w:r>
    </w:p>
    <w:p>
      <w:pPr>
        <w:keepLines/>
        <w:spacing w:after="60"/>
        <w:ind w:left="576" w:hanging="360"/>
      </w:pPr>
      <w:r>
        <w:rPr>
          <w:b/>
        </w:rPr>
        <w:t xml:space="preserve">A. </w:t>
      </w:r>
      <w:r>
        <w:t>Overwrite corrected texts so earlier analytical results appear current.</w:t>
      </w:r>
    </w:p>
    <w:p>
      <w:pPr>
        <w:keepLines/>
        <w:spacing w:after="60"/>
        <w:ind w:left="576" w:hanging="360"/>
      </w:pPr>
      <w:r>
        <w:rPr>
          <w:b/>
        </w:rPr>
        <w:t xml:space="preserve">B. </w:t>
      </w:r>
      <w:r>
        <w:t>Omit configuration details so readers can focus on the interpretation.</w:t>
      </w:r>
    </w:p>
    <w:p>
      <w:pPr>
        <w:keepLines/>
        <w:spacing w:after="60"/>
        <w:ind w:left="576" w:hanging="360"/>
      </w:pPr>
      <w:r>
        <w:rPr>
          <w:b/>
        </w:rPr>
        <w:t xml:space="preserve">C. </w:t>
      </w:r>
      <w:r>
        <w:t>Treat cleaning decisions as transformations with potential interpretive impact.</w:t>
      </w:r>
    </w:p>
    <w:p>
      <w:pPr>
        <w:keepLines/>
        <w:spacing w:after="60"/>
        <w:ind w:left="576" w:hanging="360"/>
      </w:pPr>
      <w:r>
        <w:rPr>
          <w:b/>
        </w:rPr>
        <w:t xml:space="preserve">D. </w:t>
      </w:r>
      <w:r>
        <w:t>OCR correction can introduce silent editorial judgment.</w:t>
      </w:r>
    </w:p>
    <w:p>
      <w:pPr>
        <w:keepNext/>
        <w:spacing w:before="160"/>
      </w:pPr>
      <w:r>
        <w:rPr>
          <w:b/>
        </w:rPr>
        <w:t>7. A user assumes that pushing the public repository to GitHub will back up the personal corpus and research notes because the interface displays them after restart. What is the most defensible next action?</w:t>
      </w:r>
    </w:p>
    <w:p>
      <w:pPr>
        <w:keepLines/>
        <w:spacing w:after="60"/>
        <w:ind w:left="576" w:hanging="360"/>
      </w:pPr>
      <w:r>
        <w:rPr>
          <w:b/>
        </w:rPr>
        <w:t xml:space="preserve">A. </w:t>
      </w:r>
      <w:r>
        <w:t>Silently recalculate every saved historical analysis on open.</w:t>
      </w:r>
    </w:p>
    <w:p>
      <w:pPr>
        <w:keepLines/>
        <w:spacing w:after="60"/>
        <w:ind w:left="576" w:hanging="360"/>
      </w:pPr>
      <w:r>
        <w:rPr>
          <w:b/>
        </w:rPr>
        <w:t xml:space="preserve">B. </w:t>
      </w:r>
      <w:r>
        <w:t>Use the appropriate collection workspace, preserve immutable runs and text versions, and maintain a separate private backup for ignored local research data.</w:t>
      </w:r>
    </w:p>
    <w:p>
      <w:pPr>
        <w:keepLines/>
        <w:spacing w:after="60"/>
        <w:ind w:left="576" w:hanging="360"/>
      </w:pPr>
      <w:r>
        <w:rPr>
          <w:b/>
        </w:rPr>
        <w:t xml:space="preserve">C. </w:t>
      </w:r>
      <w:r>
        <w:t>Store licensed corpora in the public source tree so Git can back them up.</w:t>
      </w:r>
    </w:p>
    <w:p>
      <w:pPr>
        <w:keepLines/>
        <w:spacing w:after="60"/>
        <w:ind w:left="576" w:hanging="360"/>
      </w:pPr>
      <w:r>
        <w:rPr>
          <w:b/>
        </w:rPr>
        <w:t xml:space="preserve">D. </w:t>
      </w:r>
      <w:r>
        <w:t>Use Corpus Browser to edit source texts directly.</w:t>
      </w:r>
    </w:p>
    <w:p>
      <w:pPr>
        <w:keepNext/>
        <w:spacing w:before="160"/>
      </w:pPr>
      <w:r>
        <w:rPr>
          <w:b/>
        </w:rPr>
        <w:t>8. Which principle is essential when applying Persistent Projects and Personal Corpora?</w:t>
      </w:r>
    </w:p>
    <w:p>
      <w:pPr>
        <w:keepLines/>
        <w:spacing w:after="60"/>
        <w:ind w:left="576" w:hanging="360"/>
      </w:pPr>
      <w:r>
        <w:rPr>
          <w:b/>
        </w:rPr>
        <w:t xml:space="preserve">A. </w:t>
      </w:r>
      <w:r>
        <w:t>Never assume that private local or hosted-session research data are protected by the public Git repository.</w:t>
      </w:r>
    </w:p>
    <w:p>
      <w:pPr>
        <w:keepLines/>
        <w:spacing w:after="60"/>
        <w:ind w:left="576" w:hanging="360"/>
      </w:pPr>
      <w:r>
        <w:rPr>
          <w:b/>
        </w:rPr>
        <w:t xml:space="preserve">B. </w:t>
      </w:r>
      <w:r>
        <w:t>Store licensed corpora in the public source tree so Git can back them up.</w:t>
      </w:r>
    </w:p>
    <w:p>
      <w:pPr>
        <w:keepLines/>
        <w:spacing w:after="60"/>
        <w:ind w:left="576" w:hanging="360"/>
      </w:pPr>
      <w:r>
        <w:rPr>
          <w:b/>
        </w:rPr>
        <w:t xml:space="preserve">C. </w:t>
      </w:r>
      <w:r>
        <w:t>Use Corpus Browser to edit source texts directly.</w:t>
      </w:r>
    </w:p>
    <w:p>
      <w:pPr>
        <w:keepLines/>
        <w:spacing w:after="60"/>
        <w:ind w:left="576" w:hanging="360"/>
      </w:pPr>
      <w:r>
        <w:rPr>
          <w:b/>
        </w:rPr>
        <w:t xml:space="preserve">D. </w:t>
      </w:r>
      <w:r>
        <w:t>A sufficiently large numerical value can replace source, denominator, and limitation reporting.</w:t>
      </w:r>
    </w:p>
    <w:p>
      <w:pPr>
        <w:keepNext/>
        <w:spacing w:before="160"/>
      </w:pPr>
      <w:r>
        <w:rPr>
          <w:b/>
        </w:rPr>
        <w:t>9. Which reporting practice best preserves the meaning of evidence in Persistent Projects and Personal Corpora?</w:t>
      </w:r>
    </w:p>
    <w:p>
      <w:pPr>
        <w:keepLines/>
        <w:spacing w:after="60"/>
        <w:ind w:left="576" w:hanging="360"/>
      </w:pPr>
      <w:r>
        <w:rPr>
          <w:b/>
        </w:rPr>
        <w:t xml:space="preserve">A. </w:t>
      </w:r>
      <w:r>
        <w:t>Git ignore prevents accidental version control but is not a backup system.</w:t>
      </w:r>
    </w:p>
    <w:p>
      <w:pPr>
        <w:keepLines/>
        <w:spacing w:after="60"/>
        <w:ind w:left="576" w:hanging="360"/>
      </w:pPr>
      <w:r>
        <w:rPr>
          <w:b/>
        </w:rPr>
        <w:t xml:space="preserve">B. </w:t>
      </w:r>
      <w:r>
        <w:t>Silently recalculate every saved historical analysis on open.</w:t>
      </w:r>
    </w:p>
    <w:p>
      <w:pPr>
        <w:keepLines/>
        <w:spacing w:after="60"/>
        <w:ind w:left="576" w:hanging="360"/>
      </w:pPr>
      <w:r>
        <w:rPr>
          <w:b/>
        </w:rPr>
        <w:t xml:space="preserve">C. </w:t>
      </w:r>
      <w:r>
        <w:t>Omit configuration details so readers can focus on the interpretation.</w:t>
      </w:r>
    </w:p>
    <w:p>
      <w:pPr>
        <w:keepLines/>
        <w:spacing w:after="60"/>
        <w:ind w:left="576" w:hanging="360"/>
      </w:pPr>
      <w:r>
        <w:rPr>
          <w:b/>
        </w:rPr>
        <w:t xml:space="preserve">D. </w:t>
      </w:r>
      <w:r>
        <w:t>Treat completed runs as historical records.</w:t>
      </w:r>
    </w:p>
    <w:p>
      <w:pPr>
        <w:keepNext/>
        <w:spacing w:before="160"/>
      </w:pPr>
      <w:r>
        <w:rPr>
          <w:b/>
        </w:rPr>
        <w:t>10. A corpus mean is reported with a small standard deviation, but half the poems have low lexical coverage and the longest poem contributes most matched tokens. What is the most defensible next action?</w:t>
      </w:r>
    </w:p>
    <w:p>
      <w:pPr>
        <w:keepLines/>
        <w:spacing w:after="60"/>
        <w:ind w:left="576" w:hanging="360"/>
      </w:pPr>
      <w:r>
        <w:rPr>
          <w:b/>
        </w:rPr>
        <w:t xml:space="preserve">A. </w:t>
      </w:r>
      <w:r>
        <w:t>Replace missing poem values with zero to keep sample size constant.</w:t>
      </w:r>
    </w:p>
    <w:p>
      <w:pPr>
        <w:keepLines/>
        <w:spacing w:after="60"/>
        <w:ind w:left="576" w:hanging="360"/>
      </w:pPr>
      <w:r>
        <w:rPr>
          <w:b/>
        </w:rPr>
        <w:t xml:space="preserve">B. </w:t>
      </w:r>
      <w:r>
        <w:t>Let the longest poem define the corpus without disclosing token weighting.</w:t>
      </w:r>
    </w:p>
    <w:p>
      <w:pPr>
        <w:keepLines/>
        <w:spacing w:after="60"/>
        <w:ind w:left="576" w:hanging="360"/>
      </w:pPr>
      <w:r>
        <w:rPr>
          <w:b/>
        </w:rPr>
        <w:t xml:space="preserve">C. </w:t>
      </w:r>
      <w:r>
        <w:t>Summarize work-level values and coverage distributions, separate aggregation schemes, and inspect individual outliers before interpreting the corpus center.</w:t>
      </w:r>
    </w:p>
    <w:p>
      <w:pPr>
        <w:keepLines/>
        <w:spacing w:after="60"/>
        <w:ind w:left="576" w:hanging="360"/>
      </w:pPr>
      <w:r>
        <w:rPr>
          <w:b/>
        </w:rPr>
        <w:t xml:space="preserve">D. </w:t>
      </w:r>
      <w:r>
        <w:t>Treat all standard deviations as confidence in the corpus mean.</w:t>
      </w:r>
    </w:p>
    <w:p>
      <w:pPr>
        <w:keepNext/>
        <w:spacing w:before="160"/>
      </w:pPr>
      <w:r>
        <w:rPr>
          <w:b/>
        </w:rPr>
        <w:t>11. Which principle is essential when applying Descriptive Statistics for Literary Corpora?</w:t>
      </w:r>
    </w:p>
    <w:p>
      <w:pPr>
        <w:keepLines/>
        <w:spacing w:after="60"/>
        <w:ind w:left="576" w:hanging="360"/>
      </w:pPr>
      <w:r>
        <w:rPr>
          <w:b/>
        </w:rPr>
        <w:t xml:space="preserve">A. </w:t>
      </w:r>
      <w:r>
        <w:t>A sufficiently large numerical value can replace source, denominator, and limitation reporting.</w:t>
      </w:r>
    </w:p>
    <w:p>
      <w:pPr>
        <w:keepLines/>
        <w:spacing w:after="60"/>
        <w:ind w:left="576" w:hanging="360"/>
      </w:pPr>
      <w:r>
        <w:rPr>
          <w:b/>
        </w:rPr>
        <w:t xml:space="preserve">B. </w:t>
      </w:r>
      <w:r>
        <w:t>Always identify whether a statistic describes observations within poems, poems within a corpus, or uncertainty from an inferential model.</w:t>
      </w:r>
    </w:p>
    <w:p>
      <w:pPr>
        <w:keepLines/>
        <w:spacing w:after="60"/>
        <w:ind w:left="576" w:hanging="360"/>
      </w:pPr>
      <w:r>
        <w:rPr>
          <w:b/>
        </w:rPr>
        <w:t xml:space="preserve">C. </w:t>
      </w:r>
      <w:r>
        <w:t>Treat all standard deviations as confidence in the corpus mean.</w:t>
      </w:r>
    </w:p>
    <w:p>
      <w:pPr>
        <w:keepLines/>
        <w:spacing w:after="60"/>
        <w:ind w:left="576" w:hanging="360"/>
      </w:pPr>
      <w:r>
        <w:rPr>
          <w:b/>
        </w:rPr>
        <w:t xml:space="preserve">D. </w:t>
      </w:r>
      <w:r>
        <w:t>Replace missing poem values with zero to keep sample size constant.</w:t>
      </w:r>
    </w:p>
    <w:p>
      <w:pPr>
        <w:keepNext/>
        <w:spacing w:before="160"/>
      </w:pPr>
      <w:r>
        <w:rPr>
          <w:b/>
        </w:rPr>
        <w:t>12. Which reporting practice best preserves the meaning of evidence in Descriptive Statistics for Literary Corpora?</w:t>
      </w:r>
    </w:p>
    <w:p>
      <w:pPr>
        <w:keepLines/>
        <w:spacing w:after="60"/>
        <w:ind w:left="576" w:hanging="360"/>
      </w:pPr>
      <w:r>
        <w:rPr>
          <w:b/>
        </w:rPr>
        <w:t xml:space="preserve">A. </w:t>
      </w:r>
      <w:r>
        <w:t>Name the aggregation level in every statistic.</w:t>
      </w:r>
    </w:p>
    <w:p>
      <w:pPr>
        <w:keepLines/>
        <w:spacing w:after="60"/>
        <w:ind w:left="576" w:hanging="360"/>
      </w:pPr>
      <w:r>
        <w:rPr>
          <w:b/>
        </w:rPr>
        <w:t xml:space="preserve">B. </w:t>
      </w:r>
      <w:r>
        <w:t>Averages can erase multimodality and subgroup structure.</w:t>
      </w:r>
    </w:p>
    <w:p>
      <w:pPr>
        <w:keepLines/>
        <w:spacing w:after="60"/>
        <w:ind w:left="576" w:hanging="360"/>
      </w:pPr>
      <w:r>
        <w:rPr>
          <w:b/>
        </w:rPr>
        <w:t xml:space="preserve">C. </w:t>
      </w:r>
      <w:r>
        <w:t>Let the longest poem define the corpus without disclosing token weighting.</w:t>
      </w:r>
    </w:p>
    <w:p>
      <w:pPr>
        <w:keepLines/>
        <w:spacing w:after="60"/>
        <w:ind w:left="576" w:hanging="360"/>
      </w:pPr>
      <w:r>
        <w:rPr>
          <w:b/>
        </w:rPr>
        <w:t xml:space="preserve">D. </w:t>
      </w:r>
      <w:r>
        <w:t>Omit configuration details so readers can focus on the interpretation.</w:t>
      </w:r>
    </w:p>
    <w:p>
      <w:pPr>
        <w:keepNext/>
        <w:spacing w:before="160"/>
      </w:pPr>
      <w:r>
        <w:rPr>
          <w:b/>
        </w:rPr>
        <w:t>13. A poem has a valence z-score of 0.0 against a selected corpus. The report describes it as emotionally neutral in an absolute sense. What is the most defensible next action?</w:t>
      </w:r>
    </w:p>
    <w:p>
      <w:pPr>
        <w:keepLines/>
        <w:spacing w:after="60"/>
        <w:ind w:left="576" w:hanging="360"/>
      </w:pPr>
      <w:r>
        <w:rPr>
          <w:b/>
        </w:rPr>
        <w:t xml:space="preserve">A. </w:t>
      </w:r>
      <w:r>
        <w:t>Interpret every positive z-score as aesthetically better.</w:t>
      </w:r>
    </w:p>
    <w:p>
      <w:pPr>
        <w:keepLines/>
        <w:spacing w:after="60"/>
        <w:ind w:left="576" w:hanging="360"/>
      </w:pPr>
      <w:r>
        <w:rPr>
          <w:b/>
        </w:rPr>
        <w:t xml:space="preserve">B. </w:t>
      </w:r>
      <w:r>
        <w:t>Compare z-scores produced from unrelated reference corpora without naming them.</w:t>
      </w:r>
    </w:p>
    <w:p>
      <w:pPr>
        <w:keepLines/>
        <w:spacing w:after="60"/>
        <w:ind w:left="576" w:hanging="360"/>
      </w:pPr>
      <w:r>
        <w:rPr>
          <w:b/>
        </w:rPr>
        <w:t xml:space="preserve">C. </w:t>
      </w:r>
      <w:r>
        <w:t>Report a percentile as the percentage of the poem possessing a feature.</w:t>
      </w:r>
    </w:p>
    <w:p>
      <w:pPr>
        <w:keepLines/>
        <w:spacing w:after="60"/>
        <w:ind w:left="576" w:hanging="360"/>
      </w:pPr>
      <w:r>
        <w:rPr>
          <w:b/>
        </w:rPr>
        <w:t xml:space="preserve">D. </w:t>
      </w:r>
      <w:r>
        <w:t>Describe the score as average relative to the named reference distribution, retain the raw value, and test whether the interpretation changes under another justified baseline.</w:t>
      </w:r>
    </w:p>
    <w:p>
      <w:pPr>
        <w:keepNext/>
        <w:spacing w:before="160"/>
      </w:pPr>
      <w:r>
        <w:rPr>
          <w:b/>
        </w:rPr>
        <w:t>14. Which principle is essential when applying Standardization, Z-Scores, and Comparative Baselines?</w:t>
      </w:r>
    </w:p>
    <w:p>
      <w:pPr>
        <w:keepLines/>
        <w:spacing w:after="60"/>
        <w:ind w:left="576" w:hanging="360"/>
      </w:pPr>
      <w:r>
        <w:rPr>
          <w:b/>
        </w:rPr>
        <w:t xml:space="preserve">A. </w:t>
      </w:r>
      <w:r>
        <w:t>Compare z-scores produced from unrelated reference corpora without naming them.</w:t>
      </w:r>
    </w:p>
    <w:p>
      <w:pPr>
        <w:keepLines/>
        <w:spacing w:after="60"/>
        <w:ind w:left="576" w:hanging="360"/>
      </w:pPr>
      <w:r>
        <w:rPr>
          <w:b/>
        </w:rPr>
        <w:t xml:space="preserve">B. </w:t>
      </w:r>
      <w:r>
        <w:t>A sufficiently large numerical value can replace source, denominator, and limitation reporting.</w:t>
      </w:r>
    </w:p>
    <w:p>
      <w:pPr>
        <w:keepLines/>
        <w:spacing w:after="60"/>
        <w:ind w:left="576" w:hanging="360"/>
      </w:pPr>
      <w:r>
        <w:rPr>
          <w:b/>
        </w:rPr>
        <w:t xml:space="preserve">C. </w:t>
      </w:r>
      <w:r>
        <w:t>A z-score of zero means equal to the selected reference mean; it does not mean absence, neutrality, or universal normality.</w:t>
      </w:r>
    </w:p>
    <w:p>
      <w:pPr>
        <w:keepLines/>
        <w:spacing w:after="60"/>
        <w:ind w:left="576" w:hanging="360"/>
      </w:pPr>
      <w:r>
        <w:rPr>
          <w:b/>
        </w:rPr>
        <w:t xml:space="preserve">D. </w:t>
      </w:r>
      <w:r>
        <w:t>Interpret every positive z-score as aesthetically better.</w:t>
      </w:r>
    </w:p>
    <w:p>
      <w:pPr>
        <w:keepNext/>
        <w:spacing w:before="160"/>
      </w:pPr>
      <w:r>
        <w:rPr>
          <w:b/>
        </w:rPr>
        <w:t>15. Which reporting practice best preserves the meaning of evidence in Standardization, Z-Scores, and Comparative Baselines?</w:t>
      </w:r>
    </w:p>
    <w:p>
      <w:pPr>
        <w:keepLines/>
        <w:spacing w:after="60"/>
        <w:ind w:left="576" w:hanging="360"/>
      </w:pPr>
      <w:r>
        <w:rPr>
          <w:b/>
        </w:rPr>
        <w:t xml:space="preserve">A. </w:t>
      </w:r>
      <w:r>
        <w:t>Omit configuration details so readers can focus on the interpretation.</w:t>
      </w:r>
    </w:p>
    <w:p>
      <w:pPr>
        <w:keepLines/>
        <w:spacing w:after="60"/>
        <w:ind w:left="576" w:hanging="360"/>
      </w:pPr>
      <w:r>
        <w:rPr>
          <w:b/>
        </w:rPr>
        <w:t xml:space="preserve">B. </w:t>
      </w:r>
      <w:r>
        <w:t>Translate standardized direction back to the metric.</w:t>
      </w:r>
    </w:p>
    <w:p>
      <w:pPr>
        <w:keepLines/>
        <w:spacing w:after="60"/>
        <w:ind w:left="576" w:hanging="360"/>
      </w:pPr>
      <w:r>
        <w:rPr>
          <w:b/>
        </w:rPr>
        <w:t xml:space="preserve">C. </w:t>
      </w:r>
      <w:r>
        <w:t>Non-normal distributions can make rule-of-thumb z interpretations misleading.</w:t>
      </w:r>
    </w:p>
    <w:p>
      <w:pPr>
        <w:keepLines/>
        <w:spacing w:after="60"/>
        <w:ind w:left="576" w:hanging="360"/>
      </w:pPr>
      <w:r>
        <w:rPr>
          <w:b/>
        </w:rPr>
        <w:t xml:space="preserve">D. </w:t>
      </w:r>
      <w:r>
        <w:t>Report a percentile as the percentage of the poem possessing a feature.</w:t>
      </w:r>
    </w:p>
    <w:p>
      <w:pPr>
        <w:keepNext/>
        <w:spacing w:before="160"/>
      </w:pPr>
      <w:r>
        <w:rPr>
          <w:b/>
        </w:rPr>
        <w:t>16. A newly added poet has only two very short poems with sparse AoA and concreteness coverage. Their centroid becomes the nearest poet for several targets. What is the most defensible next action?</w:t>
      </w:r>
    </w:p>
    <w:p>
      <w:pPr>
        <w:keepLines/>
        <w:spacing w:after="60"/>
        <w:ind w:left="576" w:hanging="360"/>
      </w:pPr>
      <w:r>
        <w:rPr>
          <w:b/>
        </w:rPr>
        <w:t xml:space="preserve">A. </w:t>
      </w:r>
      <w:r>
        <w:t>Audit the small poet sample and feature coverage, document an inclusion rule, and validate full-space shared-weight evidence before interpreting the centroid.</w:t>
      </w:r>
    </w:p>
    <w:p>
      <w:pPr>
        <w:keepLines/>
        <w:spacing w:after="60"/>
        <w:ind w:left="576" w:hanging="360"/>
      </w:pPr>
      <w:r>
        <w:rPr>
          <w:b/>
        </w:rPr>
        <w:t xml:space="preserve">B. </w:t>
      </w:r>
      <w:r>
        <w:t>Add sound metrics to one target profile to improve discrimination.</w:t>
      </w:r>
    </w:p>
    <w:p>
      <w:pPr>
        <w:keepLines/>
        <w:spacing w:after="60"/>
        <w:ind w:left="576" w:hanging="360"/>
      </w:pPr>
      <w:r>
        <w:rPr>
          <w:b/>
        </w:rPr>
        <w:t xml:space="preserve">C. </w:t>
      </w:r>
      <w:r>
        <w:t>Treat the two PCA axes as the complete similarity calculation.</w:t>
      </w:r>
    </w:p>
    <w:p>
      <w:pPr>
        <w:keepLines/>
        <w:spacing w:after="60"/>
        <w:ind w:left="576" w:hanging="360"/>
      </w:pPr>
      <w:r>
        <w:rPr>
          <w:b/>
        </w:rPr>
        <w:t xml:space="preserve">D. </w:t>
      </w:r>
      <w:r>
        <w:t>Describe a nearest poet centroid as an authorship attribution.</w:t>
      </w:r>
    </w:p>
    <w:p>
      <w:pPr>
        <w:keepNext/>
        <w:spacing w:before="160"/>
      </w:pPr>
      <w:r>
        <w:rPr>
          <w:b/>
        </w:rPr>
        <w:t>17. Which principle is essential when applying VerseMap Methodology and Similarity?</w:t>
      </w:r>
    </w:p>
    <w:p>
      <w:pPr>
        <w:keepLines/>
        <w:spacing w:after="60"/>
        <w:ind w:left="576" w:hanging="360"/>
      </w:pPr>
      <w:r>
        <w:rPr>
          <w:b/>
        </w:rPr>
        <w:t xml:space="preserve">A. </w:t>
      </w:r>
      <w:r>
        <w:t>Add sound metrics to one target profile to improve discrimination.</w:t>
      </w:r>
    </w:p>
    <w:p>
      <w:pPr>
        <w:keepLines/>
        <w:spacing w:after="60"/>
        <w:ind w:left="576" w:hanging="360"/>
      </w:pPr>
      <w:r>
        <w:rPr>
          <w:b/>
        </w:rPr>
        <w:t xml:space="preserve">B. </w:t>
      </w:r>
      <w:r>
        <w:t>Treat the two PCA axes as the complete similarity calculation.</w:t>
      </w:r>
    </w:p>
    <w:p>
      <w:pPr>
        <w:keepLines/>
        <w:spacing w:after="60"/>
        <w:ind w:left="576" w:hanging="360"/>
      </w:pPr>
      <w:r>
        <w:rPr>
          <w:b/>
        </w:rPr>
        <w:t xml:space="preserve">C. </w:t>
      </w:r>
      <w:r>
        <w:t>A sufficiently large numerical value can replace source, denominator, and limitation reporting.</w:t>
      </w:r>
    </w:p>
    <w:p>
      <w:pPr>
        <w:keepLines/>
        <w:spacing w:after="60"/>
        <w:ind w:left="576" w:hanging="360"/>
      </w:pPr>
      <w:r>
        <w:rPr>
          <w:b/>
        </w:rPr>
        <w:t xml:space="preserve">D. </w:t>
      </w:r>
      <w:r>
        <w:t>Do not interpret a VerseMap neighbor or poet centroid when shared feature evidence or reference representation is insufficient.</w:t>
      </w:r>
    </w:p>
    <w:p>
      <w:pPr>
        <w:keepNext/>
        <w:spacing w:before="160"/>
      </w:pPr>
      <w:r>
        <w:rPr>
          <w:b/>
        </w:rPr>
        <w:t>18. Which reporting practice best preserves the meaning of evidence in VerseMap Methodology and Similarity?</w:t>
      </w:r>
    </w:p>
    <w:p>
      <w:pPr>
        <w:keepLines/>
        <w:spacing w:after="60"/>
        <w:ind w:left="576" w:hanging="360"/>
      </w:pPr>
      <w:r>
        <w:rPr>
          <w:b/>
        </w:rPr>
        <w:t xml:space="preserve">A. </w:t>
      </w:r>
      <w:r>
        <w:t>Describe a nearest poet centroid as an authorship attribution.</w:t>
      </w:r>
    </w:p>
    <w:p>
      <w:pPr>
        <w:keepLines/>
        <w:spacing w:after="60"/>
        <w:ind w:left="576" w:hanging="360"/>
      </w:pPr>
      <w:r>
        <w:rPr>
          <w:b/>
        </w:rPr>
        <w:t xml:space="preserve">B. </w:t>
      </w:r>
      <w:r>
        <w:t>Omit configuration details so readers can focus on the interpretation.</w:t>
      </w:r>
    </w:p>
    <w:p>
      <w:pPr>
        <w:keepLines/>
        <w:spacing w:after="60"/>
        <w:ind w:left="576" w:hanging="360"/>
      </w:pPr>
      <w:r>
        <w:rPr>
          <w:b/>
        </w:rPr>
        <w:t xml:space="preserve">C. </w:t>
      </w:r>
      <w:r>
        <w:t>Name reference release and profile version.</w:t>
      </w:r>
    </w:p>
    <w:p>
      <w:pPr>
        <w:keepLines/>
        <w:spacing w:after="60"/>
        <w:ind w:left="576" w:hanging="360"/>
      </w:pPr>
      <w:r>
        <w:rPr>
          <w:b/>
        </w:rPr>
        <w:t xml:space="preserve">D. </w:t>
      </w:r>
      <w:r>
        <w:t>Centroids can be unstable with few or unrepresentative poems.</w:t>
      </w:r>
    </w:p>
    <w:p>
      <w:pPr>
        <w:keepNext/>
        <w:spacing w:before="160"/>
      </w:pPr>
      <w:r>
        <w:rPr>
          <w:b/>
        </w:rPr>
        <w:t>19. One poet contributes 70 percent of the poems and the longest works. The pooled token mean is reported as the period's typical value. What is the most defensible next action?</w:t>
      </w:r>
    </w:p>
    <w:p>
      <w:pPr>
        <w:keepLines/>
        <w:spacing w:after="60"/>
        <w:ind w:left="576" w:hanging="360"/>
      </w:pPr>
      <w:r>
        <w:rPr>
          <w:b/>
        </w:rPr>
        <w:t xml:space="preserve">A. </w:t>
      </w:r>
      <w:r>
        <w:t>Choose whichever aggregation produces the largest group difference.</w:t>
      </w:r>
    </w:p>
    <w:p>
      <w:pPr>
        <w:keepLines/>
        <w:spacing w:after="60"/>
        <w:ind w:left="576" w:hanging="360"/>
      </w:pPr>
      <w:r>
        <w:rPr>
          <w:b/>
        </w:rPr>
        <w:t xml:space="preserve">B. </w:t>
      </w:r>
      <w:r>
        <w:t>Separate token/type choices from work-level aggregation, report equal-work and sensitivity summaries, and limit the period claim in light of author imbalance.</w:t>
      </w:r>
    </w:p>
    <w:p>
      <w:pPr>
        <w:keepLines/>
        <w:spacing w:after="60"/>
        <w:ind w:left="576" w:hanging="360"/>
      </w:pPr>
      <w:r>
        <w:rPr>
          <w:b/>
        </w:rPr>
        <w:t xml:space="preserve">C. </w:t>
      </w:r>
      <w:r>
        <w:t>Assume type weighting automatically gives every author equal influence.</w:t>
      </w:r>
    </w:p>
    <w:p>
      <w:pPr>
        <w:keepLines/>
        <w:spacing w:after="60"/>
        <w:ind w:left="576" w:hanging="360"/>
      </w:pPr>
      <w:r>
        <w:rPr>
          <w:b/>
        </w:rPr>
        <w:t xml:space="preserve">D. </w:t>
      </w:r>
      <w:r>
        <w:t>Average every metric across works even when it requires pooled sequence evidence.</w:t>
      </w:r>
    </w:p>
    <w:p>
      <w:pPr>
        <w:keepNext/>
        <w:spacing w:before="160"/>
      </w:pPr>
      <w:r>
        <w:rPr>
          <w:b/>
        </w:rPr>
        <w:t>20. Which principle is essential when applying Aggregation and Weighting?</w:t>
      </w:r>
    </w:p>
    <w:p>
      <w:pPr>
        <w:keepLines/>
        <w:spacing w:after="60"/>
        <w:ind w:left="576" w:hanging="360"/>
      </w:pPr>
      <w:r>
        <w:rPr>
          <w:b/>
        </w:rPr>
        <w:t xml:space="preserve">A. </w:t>
      </w:r>
      <w:r>
        <w:t>Weighting must follow the unit of the scholarly claim and remain explicit at every nested level.</w:t>
      </w:r>
    </w:p>
    <w:p>
      <w:pPr>
        <w:keepLines/>
        <w:spacing w:after="60"/>
        <w:ind w:left="576" w:hanging="360"/>
      </w:pPr>
      <w:r>
        <w:rPr>
          <w:b/>
        </w:rPr>
        <w:t xml:space="preserve">B. </w:t>
      </w:r>
      <w:r>
        <w:t>Assume type weighting automatically gives every author equal influence.</w:t>
      </w:r>
    </w:p>
    <w:p>
      <w:pPr>
        <w:keepLines/>
        <w:spacing w:after="60"/>
        <w:ind w:left="576" w:hanging="360"/>
      </w:pPr>
      <w:r>
        <w:rPr>
          <w:b/>
        </w:rPr>
        <w:t xml:space="preserve">C. </w:t>
      </w:r>
      <w:r>
        <w:t>Average every metric across works even when it requires pooled sequence evidence.</w:t>
      </w:r>
    </w:p>
    <w:p>
      <w:pPr>
        <w:keepLines/>
        <w:spacing w:after="60"/>
        <w:ind w:left="576" w:hanging="360"/>
      </w:pPr>
      <w:r>
        <w:rPr>
          <w:b/>
        </w:rPr>
        <w:t xml:space="preserve">D. </w:t>
      </w:r>
      <w:r>
        <w:t>A sufficiently large numerical value can replace source, denominator, and limitation reporting.</w:t>
      </w:r>
    </w:p>
    <w:p>
      <w:pPr>
        <w:keepNext/>
        <w:spacing w:before="160"/>
      </w:pPr>
      <w:r>
        <w:rPr>
          <w:b/>
        </w:rPr>
        <w:t>21. Which reporting practice best preserves the meaning of evidence in Aggregation and Weighting?</w:t>
      </w:r>
    </w:p>
    <w:p>
      <w:pPr>
        <w:keepLines/>
        <w:spacing w:after="60"/>
        <w:ind w:left="576" w:hanging="360"/>
      </w:pPr>
      <w:r>
        <w:rPr>
          <w:b/>
        </w:rPr>
        <w:t xml:space="preserve">A. </w:t>
      </w:r>
      <w:r>
        <w:t>No single weighting scheme is neutral.</w:t>
      </w:r>
    </w:p>
    <w:p>
      <w:pPr>
        <w:keepLines/>
        <w:spacing w:after="60"/>
        <w:ind w:left="576" w:hanging="360"/>
      </w:pPr>
      <w:r>
        <w:rPr>
          <w:b/>
        </w:rPr>
        <w:t xml:space="preserve">B. </w:t>
      </w:r>
      <w:r>
        <w:t>Choose whichever aggregation produces the largest group difference.</w:t>
      </w:r>
    </w:p>
    <w:p>
      <w:pPr>
        <w:keepLines/>
        <w:spacing w:after="60"/>
        <w:ind w:left="576" w:hanging="360"/>
      </w:pPr>
      <w:r>
        <w:rPr>
          <w:b/>
        </w:rPr>
        <w:t xml:space="preserve">C. </w:t>
      </w:r>
      <w:r>
        <w:t>Omit configuration details so readers can focus on the interpretation.</w:t>
      </w:r>
    </w:p>
    <w:p>
      <w:pPr>
        <w:keepLines/>
        <w:spacing w:after="60"/>
        <w:ind w:left="576" w:hanging="360"/>
      </w:pPr>
      <w:r>
        <w:rPr>
          <w:b/>
        </w:rPr>
        <w:t xml:space="preserve">D. </w:t>
      </w:r>
      <w:r>
        <w:t>Name every weighting level.</w:t>
      </w:r>
    </w:p>
    <w:p>
      <w:pPr>
        <w:keepNext/>
        <w:spacing w:before="160"/>
      </w:pPr>
      <w:r>
        <w:rPr>
          <w:b/>
        </w:rPr>
        <w:t>22. A researcher runs a token-level t-test on thousands of words from six poems and reports a highly significant period difference. What is the most defensible next action?</w:t>
      </w:r>
    </w:p>
    <w:p>
      <w:pPr>
        <w:keepLines/>
        <w:spacing w:after="60"/>
        <w:ind w:left="576" w:hanging="360"/>
      </w:pPr>
      <w:r>
        <w:rPr>
          <w:b/>
        </w:rPr>
        <w:t xml:space="preserve">A. </w:t>
      </w:r>
      <w:r>
        <w:t>Call a small p-value proof of a meaningful poetic difference.</w:t>
      </w:r>
    </w:p>
    <w:p>
      <w:pPr>
        <w:keepLines/>
        <w:spacing w:after="60"/>
        <w:ind w:left="576" w:hanging="360"/>
      </w:pPr>
      <w:r>
        <w:rPr>
          <w:b/>
        </w:rPr>
        <w:t xml:space="preserve">B. </w:t>
      </w:r>
      <w:r>
        <w:t>Report an external model as a built-in VerseVAD calculation.</w:t>
      </w:r>
    </w:p>
    <w:p>
      <w:pPr>
        <w:keepLines/>
        <w:spacing w:after="60"/>
        <w:ind w:left="576" w:hanging="360"/>
      </w:pPr>
      <w:r>
        <w:rPr>
          <w:b/>
        </w:rPr>
        <w:t xml:space="preserve">C. </w:t>
      </w:r>
      <w:r>
        <w:t>Reject token-level pseudo-replication, define a poem- or author-level inferential unit if justified, or present the observed corpus descriptively with explicit scope.</w:t>
      </w:r>
    </w:p>
    <w:p>
      <w:pPr>
        <w:keepLines/>
        <w:spacing w:after="60"/>
        <w:ind w:left="576" w:hanging="360"/>
      </w:pPr>
      <w:r>
        <w:rPr>
          <w:b/>
        </w:rPr>
        <w:t xml:space="preserve">D. </w:t>
      </w:r>
      <w:r>
        <w:t>Treat every matched token as an independent sample from literary history.</w:t>
      </w:r>
    </w:p>
    <w:p>
      <w:pPr>
        <w:keepNext/>
        <w:spacing w:before="160"/>
      </w:pPr>
      <w:r>
        <w:rPr>
          <w:b/>
        </w:rPr>
        <w:t>23. Which principle is essential when applying Statistical Inference and Effect Interpretation?</w:t>
      </w:r>
    </w:p>
    <w:p>
      <w:pPr>
        <w:keepLines/>
        <w:spacing w:after="60"/>
        <w:ind w:left="576" w:hanging="360"/>
      </w:pPr>
      <w:r>
        <w:rPr>
          <w:b/>
        </w:rPr>
        <w:t xml:space="preserve">A. </w:t>
      </w:r>
      <w:r>
        <w:t>A sufficiently large numerical value can replace source, denominator, and limitation reporting.</w:t>
      </w:r>
    </w:p>
    <w:p>
      <w:pPr>
        <w:keepLines/>
        <w:spacing w:after="60"/>
        <w:ind w:left="576" w:hanging="360"/>
      </w:pPr>
      <w:r>
        <w:rPr>
          <w:b/>
        </w:rPr>
        <w:t xml:space="preserve">B. </w:t>
      </w:r>
      <w:r>
        <w:t>Do not describe VerseVAD's descriptive ranges, standard deviations, z-scores, or coverage as inferential significance or confidence.</w:t>
      </w:r>
    </w:p>
    <w:p>
      <w:pPr>
        <w:keepLines/>
        <w:spacing w:after="60"/>
        <w:ind w:left="576" w:hanging="360"/>
      </w:pPr>
      <w:r>
        <w:rPr>
          <w:b/>
        </w:rPr>
        <w:t xml:space="preserve">C. </w:t>
      </w:r>
      <w:r>
        <w:t>Treat every matched token as an independent sample from literary history.</w:t>
      </w:r>
    </w:p>
    <w:p>
      <w:pPr>
        <w:keepLines/>
        <w:spacing w:after="60"/>
        <w:ind w:left="576" w:hanging="360"/>
      </w:pPr>
      <w:r>
        <w:rPr>
          <w:b/>
        </w:rPr>
        <w:t xml:space="preserve">D. </w:t>
      </w:r>
      <w:r>
        <w:t>Call a small p-value proof of a meaningful poetic difference.</w:t>
      </w:r>
    </w:p>
    <w:p>
      <w:pPr>
        <w:keepNext/>
        <w:spacing w:before="160"/>
      </w:pPr>
      <w:r>
        <w:rPr>
          <w:b/>
        </w:rPr>
        <w:t>24. Which reporting practice best preserves the meaning of evidence in Statistical Inference and Effect Interpretation?</w:t>
      </w:r>
    </w:p>
    <w:p>
      <w:pPr>
        <w:keepLines/>
        <w:spacing w:after="60"/>
        <w:ind w:left="576" w:hanging="360"/>
      </w:pPr>
      <w:r>
        <w:rPr>
          <w:b/>
        </w:rPr>
        <w:t xml:space="preserve">A. </w:t>
      </w:r>
      <w:r>
        <w:t>Do not infer beyond the sampling design.</w:t>
      </w:r>
    </w:p>
    <w:p>
      <w:pPr>
        <w:keepLines/>
        <w:spacing w:after="60"/>
        <w:ind w:left="576" w:hanging="360"/>
      </w:pPr>
      <w:r>
        <w:rPr>
          <w:b/>
        </w:rPr>
        <w:t xml:space="preserve">B. </w:t>
      </w:r>
      <w:r>
        <w:t>Very small literary corpora may make asymptotic inference unreliable.</w:t>
      </w:r>
    </w:p>
    <w:p>
      <w:pPr>
        <w:keepLines/>
        <w:spacing w:after="60"/>
        <w:ind w:left="576" w:hanging="360"/>
      </w:pPr>
      <w:r>
        <w:rPr>
          <w:b/>
        </w:rPr>
        <w:t xml:space="preserve">C. </w:t>
      </w:r>
      <w:r>
        <w:t>Report an external model as a built-in VerseVAD calculation.</w:t>
      </w:r>
    </w:p>
    <w:p>
      <w:pPr>
        <w:keepLines/>
        <w:spacing w:after="60"/>
        <w:ind w:left="576" w:hanging="360"/>
      </w:pPr>
      <w:r>
        <w:rPr>
          <w:b/>
        </w:rPr>
        <w:t xml:space="preserve">D. </w:t>
      </w:r>
      <w:r>
        <w:t>Omit configuration details so readers can focus on the interpretation.</w:t>
      </w:r>
    </w:p>
    <w:p>
      <w:pPr>
        <w:keepNext/>
        <w:spacing w:before="160"/>
      </w:pPr>
      <w:r>
        <w:rPr>
          <w:b/>
        </w:rPr>
        <w:t>25. Later poems appear rarer and more abstract, but they are mostly long dramatic monologues by one author, while earlier poems are short songs by many authors. What is the most defensible next action?</w:t>
      </w:r>
    </w:p>
    <w:p>
      <w:pPr>
        <w:keepLines/>
        <w:spacing w:after="60"/>
        <w:ind w:left="576" w:hanging="360"/>
      </w:pPr>
      <w:r>
        <w:rPr>
          <w:b/>
        </w:rPr>
        <w:t xml:space="preserve">A. </w:t>
      </w:r>
      <w:r>
        <w:t>Treat a date label as exact when the metadata record is uncertain.</w:t>
      </w:r>
    </w:p>
    <w:p>
      <w:pPr>
        <w:keepLines/>
        <w:spacing w:after="60"/>
        <w:ind w:left="576" w:hanging="360"/>
      </w:pPr>
      <w:r>
        <w:rPr>
          <w:b/>
        </w:rPr>
        <w:t xml:space="preserve">B. </w:t>
      </w:r>
      <w:r>
        <w:t>Use centroid proximity as proof that a poem is historically typical.</w:t>
      </w:r>
    </w:p>
    <w:p>
      <w:pPr>
        <w:keepLines/>
        <w:spacing w:after="60"/>
        <w:ind w:left="576" w:hanging="360"/>
      </w:pPr>
      <w:r>
        <w:rPr>
          <w:b/>
        </w:rPr>
        <w:t xml:space="preserve">C. </w:t>
      </w:r>
      <w:r>
        <w:t>Attribute every group difference to period while ignoring genre and author concentration.</w:t>
      </w:r>
    </w:p>
    <w:p>
      <w:pPr>
        <w:keepLines/>
        <w:spacing w:after="60"/>
        <w:ind w:left="576" w:hanging="360"/>
      </w:pPr>
      <w:r>
        <w:rPr>
          <w:b/>
        </w:rPr>
        <w:t xml:space="preserve">D. </w:t>
      </w:r>
      <w:r>
        <w:t>Separate period, genre, author, length, and coverage effects through subgroup and sensitivity checks before making a diachronic interpretation.</w:t>
      </w:r>
    </w:p>
    <w:p>
      <w:pPr>
        <w:keepNext/>
        <w:spacing w:before="160"/>
      </w:pPr>
      <w:r>
        <w:rPr>
          <w:b/>
        </w:rPr>
        <w:t>26. Which principle is essential when applying Diachronic, Collection, and Subcorpus Analysis?</w:t>
      </w:r>
    </w:p>
    <w:p>
      <w:pPr>
        <w:keepLines/>
        <w:spacing w:after="60"/>
        <w:ind w:left="576" w:hanging="360"/>
      </w:pPr>
      <w:r>
        <w:rPr>
          <w:b/>
        </w:rPr>
        <w:t xml:space="preserve">A. </w:t>
      </w:r>
      <w:r>
        <w:t>Use centroid proximity as proof that a poem is historically typical.</w:t>
      </w:r>
    </w:p>
    <w:p>
      <w:pPr>
        <w:keepLines/>
        <w:spacing w:after="60"/>
        <w:ind w:left="576" w:hanging="360"/>
      </w:pPr>
      <w:r>
        <w:rPr>
          <w:b/>
        </w:rPr>
        <w:t xml:space="preserve">B. </w:t>
      </w:r>
      <w:r>
        <w:t>A sufficiently large numerical value can replace source, denominator, and limitation reporting.</w:t>
      </w:r>
    </w:p>
    <w:p>
      <w:pPr>
        <w:keepLines/>
        <w:spacing w:after="60"/>
        <w:ind w:left="576" w:hanging="360"/>
      </w:pPr>
      <w:r>
        <w:rPr>
          <w:b/>
        </w:rPr>
        <w:t xml:space="preserve">C. </w:t>
      </w:r>
      <w:r>
        <w:t>A chronological pattern must not be interpreted until subgroup composition and time-varying coverage have been examined.</w:t>
      </w:r>
    </w:p>
    <w:p>
      <w:pPr>
        <w:keepLines/>
        <w:spacing w:after="60"/>
        <w:ind w:left="576" w:hanging="360"/>
      </w:pPr>
      <w:r>
        <w:rPr>
          <w:b/>
        </w:rPr>
        <w:t xml:space="preserve">D. </w:t>
      </w:r>
      <w:r>
        <w:t>Treat a date label as exact when the metadata record is uncertain.</w:t>
      </w:r>
    </w:p>
    <w:p>
      <w:pPr>
        <w:keepNext/>
        <w:spacing w:before="160"/>
      </w:pPr>
      <w:r>
        <w:rPr>
          <w:b/>
        </w:rPr>
        <w:t>27. Which reporting practice best preserves the meaning of evidence in Diachronic, Collection, and Subcorpus Analysis?</w:t>
      </w:r>
    </w:p>
    <w:p>
      <w:pPr>
        <w:keepLines/>
        <w:spacing w:after="60"/>
        <w:ind w:left="576" w:hanging="360"/>
      </w:pPr>
      <w:r>
        <w:rPr>
          <w:b/>
        </w:rPr>
        <w:t xml:space="preserve">A. </w:t>
      </w:r>
      <w:r>
        <w:t>Omit configuration details so readers can focus on the interpretation.</w:t>
      </w:r>
    </w:p>
    <w:p>
      <w:pPr>
        <w:keepLines/>
        <w:spacing w:after="60"/>
        <w:ind w:left="576" w:hanging="360"/>
      </w:pPr>
      <w:r>
        <w:rPr>
          <w:b/>
        </w:rPr>
        <w:t xml:space="preserve">B. </w:t>
      </w:r>
      <w:r>
        <w:t>Use observed-corpus language unless sampling supports broader claims.</w:t>
      </w:r>
    </w:p>
    <w:p>
      <w:pPr>
        <w:keepLines/>
        <w:spacing w:after="60"/>
        <w:ind w:left="576" w:hanging="360"/>
      </w:pPr>
      <w:r>
        <w:rPr>
          <w:b/>
        </w:rPr>
        <w:t xml:space="preserve">C. </w:t>
      </w:r>
      <w:r>
        <w:t>Historical lexicons may cover periods unevenly.</w:t>
      </w:r>
    </w:p>
    <w:p>
      <w:pPr>
        <w:keepLines/>
        <w:spacing w:after="60"/>
        <w:ind w:left="576" w:hanging="360"/>
      </w:pPr>
      <w:r>
        <w:rPr>
          <w:b/>
        </w:rPr>
        <w:t xml:space="preserve">D. </w:t>
      </w:r>
      <w:r>
        <w:t>Attribute every group difference to period while ignoring genre and author concentration.</w:t>
      </w:r>
    </w:p>
    <w:p>
      <w:pPr>
        <w:keepNext/>
        <w:spacing w:before="160"/>
      </w:pPr>
      <w:r>
        <w:rPr>
          <w:b/>
        </w:rPr>
        <w:t>28. A published table cannot be reproduced because the researcher saved only rounded screenshots and later replaced source files and lexicons in place. What is the most defensible next action?</w:t>
      </w:r>
    </w:p>
    <w:p>
      <w:pPr>
        <w:keepLines/>
        <w:spacing w:after="60"/>
        <w:ind w:left="576" w:hanging="360"/>
      </w:pPr>
      <w:r>
        <w:rPr>
          <w:b/>
        </w:rPr>
        <w:t xml:space="preserve">A. </w:t>
      </w:r>
      <w:r>
        <w:t>Preserve versioned texts, hashes, settings, software and resource versions, and unrounded exports while separating public source control from private data backup.</w:t>
      </w:r>
    </w:p>
    <w:p>
      <w:pPr>
        <w:keepLines/>
        <w:spacing w:after="60"/>
        <w:ind w:left="576" w:hanging="360"/>
      </w:pPr>
      <w:r>
        <w:rPr>
          <w:b/>
        </w:rPr>
        <w:t xml:space="preserve">B. </w:t>
      </w:r>
      <w:r>
        <w:t>Assume a Git commit contains ignored private databases and lexicons.</w:t>
      </w:r>
    </w:p>
    <w:p>
      <w:pPr>
        <w:keepLines/>
        <w:spacing w:after="60"/>
        <w:ind w:left="576" w:hanging="360"/>
      </w:pPr>
      <w:r>
        <w:rPr>
          <w:b/>
        </w:rPr>
        <w:t xml:space="preserve">C. </w:t>
      </w:r>
      <w:r>
        <w:t>Use a filename as proof that two text versions are identical.</w:t>
      </w:r>
    </w:p>
    <w:p>
      <w:pPr>
        <w:keepLines/>
        <w:spacing w:after="60"/>
        <w:ind w:left="576" w:hanging="360"/>
      </w:pPr>
      <w:r>
        <w:rPr>
          <w:b/>
        </w:rPr>
        <w:t xml:space="preserve">D. </w:t>
      </w:r>
      <w:r>
        <w:t>Reanalyze under new software and replace the old result without a new run record.</w:t>
      </w:r>
    </w:p>
    <w:p>
      <w:pPr>
        <w:keepNext/>
        <w:spacing w:before="160"/>
      </w:pPr>
      <w:r>
        <w:rPr>
          <w:b/>
        </w:rPr>
        <w:t>29. Which principle is essential when applying Reproducibility, Provenance, and Version Control?</w:t>
      </w:r>
    </w:p>
    <w:p>
      <w:pPr>
        <w:keepLines/>
        <w:spacing w:after="60"/>
        <w:ind w:left="576" w:hanging="360"/>
      </w:pPr>
      <w:r>
        <w:rPr>
          <w:b/>
        </w:rPr>
        <w:t xml:space="preserve">A. </w:t>
      </w:r>
      <w:r>
        <w:t>Assume a Git commit contains ignored private databases and lexicons.</w:t>
      </w:r>
    </w:p>
    <w:p>
      <w:pPr>
        <w:keepLines/>
        <w:spacing w:after="60"/>
        <w:ind w:left="576" w:hanging="360"/>
      </w:pPr>
      <w:r>
        <w:rPr>
          <w:b/>
        </w:rPr>
        <w:t xml:space="preserve">B. </w:t>
      </w:r>
      <w:r>
        <w:t>Use a filename as proof that two text versions are identical.</w:t>
      </w:r>
    </w:p>
    <w:p>
      <w:pPr>
        <w:keepLines/>
        <w:spacing w:after="60"/>
        <w:ind w:left="576" w:hanging="360"/>
      </w:pPr>
      <w:r>
        <w:rPr>
          <w:b/>
        </w:rPr>
        <w:t xml:space="preserve">C. </w:t>
      </w:r>
      <w:r>
        <w:t>A sufficiently large numerical value can replace source, denominator, and limitation reporting.</w:t>
      </w:r>
    </w:p>
    <w:p>
      <w:pPr>
        <w:keepLines/>
        <w:spacing w:after="60"/>
        <w:ind w:left="576" w:hanging="360"/>
      </w:pPr>
      <w:r>
        <w:rPr>
          <w:b/>
        </w:rPr>
        <w:t xml:space="preserve">D. </w:t>
      </w:r>
      <w:r>
        <w:t>Never overwrite or silently relabel the evidence needed to reconstruct a completed analysis.</w:t>
      </w:r>
    </w:p>
    <w:p>
      <w:pPr>
        <w:keepNext/>
        <w:spacing w:before="160"/>
      </w:pPr>
      <w:r>
        <w:rPr>
          <w:b/>
        </w:rPr>
        <w:t>30. Which reporting practice best preserves the meaning of evidence in Reproducibility, Provenance, and Version Control?</w:t>
      </w:r>
    </w:p>
    <w:p>
      <w:pPr>
        <w:keepLines/>
        <w:spacing w:after="60"/>
        <w:ind w:left="576" w:hanging="360"/>
      </w:pPr>
      <w:r>
        <w:rPr>
          <w:b/>
        </w:rPr>
        <w:t xml:space="preserve">A. </w:t>
      </w:r>
      <w:r>
        <w:t>Reanalyze under new software and replace the old result without a new run record.</w:t>
      </w:r>
    </w:p>
    <w:p>
      <w:pPr>
        <w:keepLines/>
        <w:spacing w:after="60"/>
        <w:ind w:left="576" w:hanging="360"/>
      </w:pPr>
      <w:r>
        <w:rPr>
          <w:b/>
        </w:rPr>
        <w:t xml:space="preserve">B. </w:t>
      </w:r>
      <w:r>
        <w:t>Omit configuration details so readers can focus on the interpretation.</w:t>
      </w:r>
    </w:p>
    <w:p>
      <w:pPr>
        <w:keepLines/>
        <w:spacing w:after="60"/>
        <w:ind w:left="576" w:hanging="360"/>
      </w:pPr>
      <w:r>
        <w:rPr>
          <w:b/>
        </w:rPr>
        <w:t xml:space="preserve">C. </w:t>
      </w:r>
      <w:r>
        <w:t>Treat version changes as potential method changes.</w:t>
      </w:r>
    </w:p>
    <w:p>
      <w:pPr>
        <w:keepLines/>
        <w:spacing w:after="60"/>
        <w:ind w:left="576" w:hanging="360"/>
      </w:pPr>
      <w:r>
        <w:rPr>
          <w:b/>
        </w:rPr>
        <w:t xml:space="preserve">D. </w:t>
      </w:r>
      <w:r>
        <w:t>A checksum proves byte identity, not scholarly correctness.</w:t>
      </w:r>
    </w:p>
    <w:p>
      <w:pPr>
        <w:keepNext/>
        <w:spacing w:before="160"/>
      </w:pPr>
      <w:r>
        <w:rPr>
          <w:b/>
        </w:rPr>
        <w:t>31. A collaborative class corpus contains living students' unpublished poems and private interpretive notes. The instructor plans to push the project database to a public GitHub repository for convenience. What is the most defensible next action?</w:t>
      </w:r>
    </w:p>
    <w:p>
      <w:pPr>
        <w:keepLines/>
        <w:spacing w:after="60"/>
        <w:ind w:left="576" w:hanging="360"/>
      </w:pPr>
      <w:r>
        <w:rPr>
          <w:b/>
        </w:rPr>
        <w:t xml:space="preserve">A. </w:t>
      </w:r>
      <w:r>
        <w:t>Include all research notes in quick exports by default.</w:t>
      </w:r>
    </w:p>
    <w:p>
      <w:pPr>
        <w:keepLines/>
        <w:spacing w:after="60"/>
        <w:ind w:left="576" w:hanging="360"/>
      </w:pPr>
      <w:r>
        <w:rPr>
          <w:b/>
        </w:rPr>
        <w:t xml:space="preserve">B. </w:t>
      </w:r>
      <w:r>
        <w:t>Keep the corpus and notes out of public Git, apply institutional and rights review, restrict access, minimize retained data, and share only authorized exports.</w:t>
      </w:r>
    </w:p>
    <w:p>
      <w:pPr>
        <w:keepLines/>
        <w:spacing w:after="60"/>
        <w:ind w:left="576" w:hanging="360"/>
      </w:pPr>
      <w:r>
        <w:rPr>
          <w:b/>
        </w:rPr>
        <w:t xml:space="preserve">C. </w:t>
      </w:r>
      <w:r>
        <w:t>Assume GPL-3.0 covers every third-party dataset used by VerseVAD.</w:t>
      </w:r>
    </w:p>
    <w:p>
      <w:pPr>
        <w:keepLines/>
        <w:spacing w:after="60"/>
        <w:ind w:left="576" w:hanging="360"/>
      </w:pPr>
      <w:r>
        <w:rPr>
          <w:b/>
        </w:rPr>
        <w:t xml:space="preserve">D. </w:t>
      </w:r>
      <w:r>
        <w:t>Treat removing author names as sufficient protection for recognizable unpublished poems.</w:t>
      </w:r>
    </w:p>
    <w:p>
      <w:pPr>
        <w:keepNext/>
        <w:spacing w:before="160"/>
      </w:pPr>
      <w:r>
        <w:rPr>
          <w:b/>
        </w:rPr>
        <w:t>32. Which principle is essential when applying Research Ethics, Copyright, Privacy, and Data Governance?</w:t>
      </w:r>
    </w:p>
    <w:p>
      <w:pPr>
        <w:keepLines/>
        <w:spacing w:after="60"/>
        <w:ind w:left="576" w:hanging="360"/>
      </w:pPr>
      <w:r>
        <w:rPr>
          <w:b/>
        </w:rPr>
        <w:t xml:space="preserve">A. </w:t>
      </w:r>
      <w:r>
        <w:t>Never commit or redistribute a lexicon, corpus, poem, database, or note merely because the software can read it.</w:t>
      </w:r>
    </w:p>
    <w:p>
      <w:pPr>
        <w:keepLines/>
        <w:spacing w:after="60"/>
        <w:ind w:left="576" w:hanging="360"/>
      </w:pPr>
      <w:r>
        <w:rPr>
          <w:b/>
        </w:rPr>
        <w:t xml:space="preserve">B. </w:t>
      </w:r>
      <w:r>
        <w:t>Assume GPL-3.0 covers every third-party dataset used by VerseVAD.</w:t>
      </w:r>
    </w:p>
    <w:p>
      <w:pPr>
        <w:keepLines/>
        <w:spacing w:after="60"/>
        <w:ind w:left="576" w:hanging="360"/>
      </w:pPr>
      <w:r>
        <w:rPr>
          <w:b/>
        </w:rPr>
        <w:t xml:space="preserve">C. </w:t>
      </w:r>
      <w:r>
        <w:t>Treat removing author names as sufficient protection for recognizable unpublished poems.</w:t>
      </w:r>
    </w:p>
    <w:p>
      <w:pPr>
        <w:keepLines/>
        <w:spacing w:after="60"/>
        <w:ind w:left="576" w:hanging="360"/>
      </w:pPr>
      <w:r>
        <w:rPr>
          <w:b/>
        </w:rPr>
        <w:t xml:space="preserve">D. </w:t>
      </w:r>
      <w:r>
        <w:t>A sufficiently large numerical value can replace source, denominator, and limitation reporting.</w:t>
      </w:r>
    </w:p>
    <w:p>
      <w:pPr>
        <w:keepNext/>
        <w:spacing w:before="160"/>
      </w:pPr>
      <w:r>
        <w:rPr>
          <w:b/>
        </w:rPr>
        <w:t>33. Which reporting practice best preserves the meaning of evidence in Research Ethics, Copyright, Privacy, and Data Governance?</w:t>
      </w:r>
    </w:p>
    <w:p>
      <w:pPr>
        <w:keepLines/>
        <w:spacing w:after="60"/>
        <w:ind w:left="576" w:hanging="360"/>
      </w:pPr>
      <w:r>
        <w:rPr>
          <w:b/>
        </w:rPr>
        <w:t xml:space="preserve">A. </w:t>
      </w:r>
      <w:r>
        <w:t>This course is methodological guidance, not jurisdiction-specific legal advice.</w:t>
      </w:r>
    </w:p>
    <w:p>
      <w:pPr>
        <w:keepLines/>
        <w:spacing w:after="60"/>
        <w:ind w:left="576" w:hanging="360"/>
      </w:pPr>
      <w:r>
        <w:rPr>
          <w:b/>
        </w:rPr>
        <w:t xml:space="preserve">B. </w:t>
      </w:r>
      <w:r>
        <w:t>Include all research notes in quick exports by default.</w:t>
      </w:r>
    </w:p>
    <w:p>
      <w:pPr>
        <w:keepLines/>
        <w:spacing w:after="60"/>
        <w:ind w:left="576" w:hanging="360"/>
      </w:pPr>
      <w:r>
        <w:rPr>
          <w:b/>
        </w:rPr>
        <w:t xml:space="preserve">C. </w:t>
      </w:r>
      <w:r>
        <w:t>Omit configuration details so readers can focus on the interpretation.</w:t>
      </w:r>
    </w:p>
    <w:p>
      <w:pPr>
        <w:keepLines/>
        <w:spacing w:after="60"/>
        <w:ind w:left="576" w:hanging="360"/>
      </w:pPr>
      <w:r>
        <w:rPr>
          <w:b/>
        </w:rPr>
        <w:t xml:space="preserve">D. </w:t>
      </w:r>
      <w:r>
        <w:t>Separate technical possibility from legal permission.</w:t>
      </w:r>
    </w:p>
    <w:p>
      <w:pPr>
        <w:keepNext/>
        <w:spacing w:before="160"/>
      </w:pPr>
      <w:r>
        <w:rPr>
          <w:b/>
        </w:rPr>
        <w:t>34. A report includes polished PCA graphics and p-values but omits the corpus manifest, coverage distribution, weighting, and reasons for selecting three quoted poems. What is the most defensible next action?</w:t>
      </w:r>
    </w:p>
    <w:p>
      <w:pPr>
        <w:keepLines/>
        <w:spacing w:after="60"/>
        <w:ind w:left="576" w:hanging="360"/>
      </w:pPr>
      <w:r>
        <w:rPr>
          <w:b/>
        </w:rPr>
        <w:t xml:space="preserve">A. </w:t>
      </w:r>
      <w:r>
        <w:t>Select quotations only because they confirm the aggregate pattern.</w:t>
      </w:r>
    </w:p>
    <w:p>
      <w:pPr>
        <w:keepLines/>
        <w:spacing w:after="60"/>
        <w:ind w:left="576" w:hanging="360"/>
      </w:pPr>
      <w:r>
        <w:rPr>
          <w:b/>
        </w:rPr>
        <w:t xml:space="preserve">B. </w:t>
      </w:r>
      <w:r>
        <w:t>Put all caveats in an appendix without changing the main claim.</w:t>
      </w:r>
    </w:p>
    <w:p>
      <w:pPr>
        <w:keepLines/>
        <w:spacing w:after="60"/>
        <w:ind w:left="576" w:hanging="360"/>
      </w:pPr>
      <w:r>
        <w:rPr>
          <w:b/>
        </w:rPr>
        <w:t xml:space="preserve">C. </w:t>
      </w:r>
      <w:r>
        <w:t>Rebuild the report around the research question, disclose corpus and method provenance, show coverage and distributions, justify close-reading cases, and separate external inference from VerseVAD output.</w:t>
      </w:r>
    </w:p>
    <w:p>
      <w:pPr>
        <w:keepLines/>
        <w:spacing w:after="60"/>
        <w:ind w:left="576" w:hanging="360"/>
      </w:pPr>
      <w:r>
        <w:rPr>
          <w:b/>
        </w:rPr>
        <w:t xml:space="preserve">D. </w:t>
      </w:r>
      <w:r>
        <w:t>Use polished visualization as a substitute for transparent methods.</w:t>
      </w:r>
    </w:p>
    <w:p>
      <w:pPr>
        <w:keepNext/>
        <w:spacing w:before="160"/>
      </w:pPr>
      <w:r>
        <w:rPr>
          <w:b/>
        </w:rPr>
        <w:t>35. Which principle is essential when applying Scholarly and Professional Reporting?</w:t>
      </w:r>
    </w:p>
    <w:p>
      <w:pPr>
        <w:keepLines/>
        <w:spacing w:after="60"/>
        <w:ind w:left="576" w:hanging="360"/>
      </w:pPr>
      <w:r>
        <w:rPr>
          <w:b/>
        </w:rPr>
        <w:t xml:space="preserve">A. </w:t>
      </w:r>
      <w:r>
        <w:t>A sufficiently large numerical value can replace source, denominator, and limitation reporting.</w:t>
      </w:r>
    </w:p>
    <w:p>
      <w:pPr>
        <w:keepLines/>
        <w:spacing w:after="60"/>
        <w:ind w:left="576" w:hanging="360"/>
      </w:pPr>
      <w:r>
        <w:rPr>
          <w:b/>
        </w:rPr>
        <w:t xml:space="preserve">B. </w:t>
      </w:r>
      <w:r>
        <w:t>Every public claim must remain proportionate to corpus design, evidence coverage, aggregation, and the actual calculation source.</w:t>
      </w:r>
    </w:p>
    <w:p>
      <w:pPr>
        <w:keepLines/>
        <w:spacing w:after="60"/>
        <w:ind w:left="576" w:hanging="360"/>
      </w:pPr>
      <w:r>
        <w:rPr>
          <w:b/>
        </w:rPr>
        <w:t xml:space="preserve">C. </w:t>
      </w:r>
      <w:r>
        <w:t>Use polished visualization as a substitute for transparent methods.</w:t>
      </w:r>
    </w:p>
    <w:p>
      <w:pPr>
        <w:keepLines/>
        <w:spacing w:after="60"/>
        <w:ind w:left="576" w:hanging="360"/>
      </w:pPr>
      <w:r>
        <w:rPr>
          <w:b/>
        </w:rPr>
        <w:t xml:space="preserve">D. </w:t>
      </w:r>
      <w:r>
        <w:t>Select quotations only because they confirm the aggregate pattern.</w:t>
      </w:r>
    </w:p>
    <w:p>
      <w:pPr>
        <w:keepNext/>
        <w:spacing w:before="160"/>
      </w:pPr>
      <w:r>
        <w:rPr>
          <w:b/>
        </w:rPr>
        <w:t>36. Which reporting practice best preserves the meaning of evidence in Scholarly and Professional Reporting?</w:t>
      </w:r>
    </w:p>
    <w:p>
      <w:pPr>
        <w:keepLines/>
        <w:spacing w:after="60"/>
        <w:ind w:left="576" w:hanging="360"/>
      </w:pPr>
      <w:r>
        <w:rPr>
          <w:b/>
        </w:rPr>
        <w:t xml:space="preserve">A. </w:t>
      </w:r>
      <w:r>
        <w:t>Lead with evidence that answers the question.</w:t>
      </w:r>
    </w:p>
    <w:p>
      <w:pPr>
        <w:keepLines/>
        <w:spacing w:after="60"/>
        <w:ind w:left="576" w:hanging="360"/>
      </w:pPr>
      <w:r>
        <w:rPr>
          <w:b/>
        </w:rPr>
        <w:t xml:space="preserve">B. </w:t>
      </w:r>
      <w:r>
        <w:t>A comprehensive appendix cannot repair an invalid corpus design.</w:t>
      </w:r>
    </w:p>
    <w:p>
      <w:pPr>
        <w:keepLines/>
        <w:spacing w:after="60"/>
        <w:ind w:left="576" w:hanging="360"/>
      </w:pPr>
      <w:r>
        <w:rPr>
          <w:b/>
        </w:rPr>
        <w:t xml:space="preserve">C. </w:t>
      </w:r>
      <w:r>
        <w:t>Put all caveats in an appendix without changing the main claim.</w:t>
      </w:r>
    </w:p>
    <w:p>
      <w:pPr>
        <w:keepLines/>
        <w:spacing w:after="60"/>
        <w:ind w:left="576" w:hanging="360"/>
      </w:pPr>
      <w:r>
        <w:rPr>
          <w:b/>
        </w:rPr>
        <w:t xml:space="preserve">D. </w:t>
      </w:r>
      <w:r>
        <w:t>Omit configuration details so readers can focus on the interpretation.</w:t>
      </w:r>
    </w:p>
    <w:p>
      <w:pPr>
        <w:pStyle w:val="Heading1"/>
      </w:pPr>
      <w:r>
        <w:t>Applied Assessment Bridge</w:t>
      </w:r>
    </w:p>
    <w:p>
      <w:r>
        <w:t>The separate **Reproducible VerseVAD Corpus Study** converts course knowledge into observable practice. Begin it only after completing the conceptual assessment and resolving any critical-domain remediation.</w:t>
      </w:r>
    </w:p>
    <w:p>
      <w:pPr>
        <w:pStyle w:val="ListBullet"/>
      </w:pPr>
      <w:r>
        <w:t>Research question, population, sampling frame, and corpus protocol</w:t>
      </w:r>
    </w:p>
    <w:p>
      <w:pPr>
        <w:pStyle w:val="ListBullet"/>
      </w:pPr>
      <w:r>
        <w:t>UTF-8 text manifest, metadata dictionary, provenance, cleaning log, and rights statement</w:t>
      </w:r>
    </w:p>
    <w:p>
      <w:pPr>
        <w:pStyle w:val="ListBullet"/>
      </w:pPr>
      <w:r>
        <w:t>Versioned Saved Project or equivalent corpus analysis</w:t>
      </w:r>
    </w:p>
    <w:p>
      <w:pPr>
        <w:pStyle w:val="ListBullet"/>
      </w:pPr>
      <w:r>
        <w:t>Coverage and missingness audit by poem and group</w:t>
      </w:r>
    </w:p>
    <w:p>
      <w:pPr>
        <w:pStyle w:val="ListBullet"/>
      </w:pPr>
      <w:r>
        <w:t>Descriptive distributions with equal-work and one sensitivity aggregation</w:t>
      </w:r>
    </w:p>
    <w:p>
      <w:pPr>
        <w:pStyle w:val="ListBullet"/>
      </w:pPr>
      <w:r>
        <w:t>Standardized or VerseMap comparison with reference and shared-weight documentation</w:t>
      </w:r>
    </w:p>
    <w:p>
      <w:pPr>
        <w:pStyle w:val="ListBullet"/>
      </w:pPr>
      <w:r>
        <w:t>Close reading of at least one characteristic and one distant or complicating poem</w:t>
      </w:r>
    </w:p>
    <w:p>
      <w:pPr>
        <w:pStyle w:val="ListBullet"/>
      </w:pPr>
      <w:r>
        <w:t>Explicit decision to use or decline inferential analysis; external script and assumptions if used</w:t>
      </w:r>
    </w:p>
    <w:p>
      <w:pPr>
        <w:pStyle w:val="ListBullet"/>
      </w:pPr>
      <w:r>
        <w:t>Limitations, ethics/data-governance plan, and reproducibility appendix</w:t>
      </w:r>
    </w:p>
    <w:p>
      <w:pPr>
        <w:pStyle w:val="ListBullet"/>
      </w:pPr>
      <w:r>
        <w:t>8–12 minute oral or recorded methodological defense</w:t>
      </w:r>
    </w:p>
    <w:p>
      <w:r>
        <w:t>Use the separate assignment brief for submission instructions and the separate rubric for scoring. These materials do not issue a credential automatically.</w:t>
      </w:r>
    </w:p>
    <w:p>
      <w:pPr>
        <w:pStyle w:val="Heading1"/>
      </w:pPr>
      <w:r>
        <w:t>Glossary</w:t>
      </w:r>
    </w:p>
    <w:tbl>
      <w:tblPr>
        <w:tblW w:type="dxa" w:w="9360"/>
        <w:jc w:val="center"/>
        <w:tblLayout w:type="fixed"/>
        <w:tblLook w:firstColumn="1" w:firstRow="1" w:lastColumn="0" w:lastRow="0" w:noHBand="0" w:noVBand="1" w:val="04A0"/>
        <w:tblBorders>
          <w:top w:val="single" w:sz="4" w:space="0" w:color="CDD4DA"/>
          <w:left w:val="single" w:sz="4" w:space="0" w:color="CDD4DA"/>
          <w:bottom w:val="single" w:sz="4" w:space="0" w:color="CDD4DA"/>
          <w:right w:val="single" w:sz="4" w:space="0" w:color="CDD4DA"/>
          <w:insideH w:val="single" w:sz="4" w:space="0" w:color="CDD4DA"/>
          <w:insideV w:val="single" w:sz="4" w:space="0" w:color="CDD4DA"/>
        </w:tblBorders>
        <w:tblCaption w:val="VerseVAD course glossary"/>
        <w:tblDescription w:val="Definitions of recurring methodological, lexical, statistical, prosodic, and research terms."/>
      </w:tblPr>
      <w:tblGrid>
        <w:gridCol w:w="4680"/>
        <w:gridCol w:w="4680"/>
      </w:tblGrid>
      <w:tr>
        <w:trPr>
          <w:cantSplit/>
          <w:trHeight w:hRule="atLeast"/>
          <w:tblHeader w:val="true"/>
        </w:trPr>
        <w:tc>
          <w:tcPr>
            <w:tcW w:type="dxa" w:w="2100"/>
            <w:tcMar>
              <w:top w:w="75" w:type="dxa"/>
              <w:start w:w="100" w:type="dxa"/>
              <w:bottom w:w="75" w:type="dxa"/>
              <w:end w:w="100" w:type="dxa"/>
            </w:tcMar>
            <w:vAlign w:val="center"/>
            <w:shd w:fill="E8EEF5"/>
          </w:tcPr>
          <w:p>
            <w:pPr>
              <w:spacing w:after="0" w:line="264" w:lineRule="auto"/>
            </w:pPr>
            <w:r>
              <w:rPr>
                <w:b/>
                <w:color w:val="1F4D78"/>
                <w:sz w:val="17"/>
              </w:rPr>
              <w:t>Term</w:t>
            </w:r>
          </w:p>
        </w:tc>
        <w:tc>
          <w:tcPr>
            <w:tcW w:type="dxa" w:w="7260"/>
            <w:tcMar>
              <w:top w:w="75" w:type="dxa"/>
              <w:start w:w="100" w:type="dxa"/>
              <w:bottom w:w="75" w:type="dxa"/>
              <w:end w:w="100" w:type="dxa"/>
            </w:tcMar>
            <w:vAlign w:val="center"/>
            <w:shd w:fill="E8EEF5"/>
          </w:tcPr>
          <w:p>
            <w:pPr>
              <w:spacing w:after="0" w:line="264" w:lineRule="auto"/>
            </w:pPr>
            <w:r>
              <w:rPr>
                <w:b/>
                <w:color w:val="1F4D78"/>
                <w:sz w:val="17"/>
              </w:rPr>
              <w:t>Course definition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Analysis profile</w:t>
            </w:r>
          </w:p>
        </w:tc>
        <w:tc>
          <w:tcPr>
            <w:tcW w:type="dxa" w:w="7260"/>
            <w:tcMar>
              <w:top w:w="75" w:type="dxa"/>
              <w:start w:w="100" w:type="dxa"/>
              <w:bottom w:w="75" w:type="dxa"/>
              <w:end w:w="100" w:type="dxa"/>
            </w:tcMar>
            <w:vAlign w:val="center"/>
          </w:tcPr>
          <w:p>
            <w:pPr>
              <w:spacing w:after="0" w:line="264" w:lineRule="auto"/>
            </w:pPr>
            <w:r>
              <w:rPr>
                <w:sz w:val="17"/>
              </w:rPr>
              <w:t>A reproducible starting set of enabled modules and defaults that may be deliberately customized.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Arousal</w:t>
            </w:r>
          </w:p>
        </w:tc>
        <w:tc>
          <w:tcPr>
            <w:tcW w:type="dxa" w:w="7260"/>
            <w:tcMar>
              <w:top w:w="75" w:type="dxa"/>
              <w:start w:w="100" w:type="dxa"/>
              <w:bottom w:w="75" w:type="dxa"/>
              <w:end w:w="100" w:type="dxa"/>
            </w:tcMar>
            <w:vAlign w:val="center"/>
          </w:tcPr>
          <w:p>
            <w:pPr>
              <w:spacing w:after="0" w:line="264" w:lineRule="auto"/>
            </w:pPr>
            <w:r>
              <w:rPr>
                <w:sz w:val="17"/>
              </w:rPr>
              <w:t>Normative lexical association with activation, intensity, agitation, or calm.</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Association proportion</w:t>
            </w:r>
          </w:p>
        </w:tc>
        <w:tc>
          <w:tcPr>
            <w:tcW w:type="dxa" w:w="7260"/>
            <w:tcMar>
              <w:top w:w="75" w:type="dxa"/>
              <w:start w:w="100" w:type="dxa"/>
              <w:bottom w:w="75" w:type="dxa"/>
              <w:end w:w="100" w:type="dxa"/>
            </w:tcMar>
            <w:vAlign w:val="center"/>
          </w:tcPr>
          <w:p>
            <w:pPr>
              <w:spacing w:after="0" w:line="264" w:lineRule="auto"/>
            </w:pPr>
            <w:r>
              <w:rPr>
                <w:sz w:val="17"/>
              </w:rPr>
              <w:t>Share of eligible matched evidence linked to a multi-label category; not a reader-response percentage.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Coverage</w:t>
            </w:r>
          </w:p>
        </w:tc>
        <w:tc>
          <w:tcPr>
            <w:tcW w:type="dxa" w:w="7260"/>
            <w:tcMar>
              <w:top w:w="75" w:type="dxa"/>
              <w:start w:w="100" w:type="dxa"/>
              <w:bottom w:w="75" w:type="dxa"/>
              <w:end w:w="100" w:type="dxa"/>
            </w:tcMar>
            <w:vAlign w:val="center"/>
          </w:tcPr>
          <w:p>
            <w:pPr>
              <w:spacing w:after="0" w:line="264" w:lineRule="auto"/>
            </w:pPr>
            <w:r>
              <w:rPr>
                <w:sz w:val="17"/>
              </w:rPr>
              <w:t>Matched eligible evidence divided by eligible evidence under a named policy.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Cumulative lexical load</w:t>
            </w:r>
          </w:p>
        </w:tc>
        <w:tc>
          <w:tcPr>
            <w:tcW w:type="dxa" w:w="7260"/>
            <w:tcMar>
              <w:top w:w="75" w:type="dxa"/>
              <w:start w:w="100" w:type="dxa"/>
              <w:bottom w:w="75" w:type="dxa"/>
              <w:end w:w="100" w:type="dxa"/>
            </w:tcMar>
            <w:vAlign w:val="center"/>
          </w:tcPr>
          <w:p>
            <w:pPr>
              <w:spacing w:after="0" w:line="264" w:lineRule="auto"/>
            </w:pPr>
            <w:r>
              <w:rPr>
                <w:sz w:val="17"/>
              </w:rPr>
              <w:t>A repetition- and length-sensitive accumulation of retained ratings; use a normalized counterpart for cross-length comparison.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Dominance</w:t>
            </w:r>
          </w:p>
        </w:tc>
        <w:tc>
          <w:tcPr>
            <w:tcW w:type="dxa" w:w="7260"/>
            <w:tcMar>
              <w:top w:w="75" w:type="dxa"/>
              <w:start w:w="100" w:type="dxa"/>
              <w:bottom w:w="75" w:type="dxa"/>
              <w:end w:w="100" w:type="dxa"/>
            </w:tcMar>
            <w:vAlign w:val="center"/>
          </w:tcPr>
          <w:p>
            <w:pPr>
              <w:spacing w:after="0" w:line="264" w:lineRule="auto"/>
            </w:pPr>
            <w:r>
              <w:rPr>
                <w:sz w:val="17"/>
              </w:rPr>
              <w:t>Normative lexical association with power, control, agency, submission, or vulnerability.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Eligible denominator</w:t>
            </w:r>
          </w:p>
        </w:tc>
        <w:tc>
          <w:tcPr>
            <w:tcW w:type="dxa" w:w="7260"/>
            <w:tcMar>
              <w:top w:w="75" w:type="dxa"/>
              <w:start w:w="100" w:type="dxa"/>
              <w:bottom w:w="75" w:type="dxa"/>
              <w:end w:w="100" w:type="dxa"/>
            </w:tcMar>
            <w:vAlign w:val="center"/>
          </w:tcPr>
          <w:p>
            <w:pPr>
              <w:spacing w:after="0" w:line="264" w:lineRule="auto"/>
            </w:pPr>
            <w:r>
              <w:rPr>
                <w:sz w:val="17"/>
              </w:rPr>
              <w:t>The observations permitted to contribute under the active source, view, POS, stopword, and processing rules.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Equal-work mean</w:t>
            </w:r>
          </w:p>
        </w:tc>
        <w:tc>
          <w:tcPr>
            <w:tcW w:type="dxa" w:w="7260"/>
            <w:tcMar>
              <w:top w:w="75" w:type="dxa"/>
              <w:start w:w="100" w:type="dxa"/>
              <w:bottom w:w="75" w:type="dxa"/>
              <w:end w:w="100" w:type="dxa"/>
            </w:tcMar>
            <w:vAlign w:val="center"/>
          </w:tcPr>
          <w:p>
            <w:pPr>
              <w:spacing w:after="0" w:line="264" w:lineRule="auto"/>
            </w:pPr>
            <w:r>
              <w:rPr>
                <w:sz w:val="17"/>
              </w:rPr>
              <w:t>A corpus summary in which each available work-level value contributes equally.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G2P</w:t>
            </w:r>
          </w:p>
        </w:tc>
        <w:tc>
          <w:tcPr>
            <w:tcW w:type="dxa" w:w="7260"/>
            <w:tcMar>
              <w:top w:w="75" w:type="dxa"/>
              <w:start w:w="100" w:type="dxa"/>
              <w:bottom w:w="75" w:type="dxa"/>
              <w:end w:w="100" w:type="dxa"/>
            </w:tcMar>
            <w:vAlign w:val="center"/>
          </w:tcPr>
          <w:p>
            <w:pPr>
              <w:spacing w:after="0" w:line="264" w:lineRule="auto"/>
            </w:pPr>
            <w:r>
              <w:rPr>
                <w:sz w:val="17"/>
              </w:rPr>
              <w:t>Grapheme-to-phoneme prediction; provisional ARPAbet evidence until approved or edited.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HD-D</w:t>
            </w:r>
          </w:p>
        </w:tc>
        <w:tc>
          <w:tcPr>
            <w:tcW w:type="dxa" w:w="7260"/>
            <w:tcMar>
              <w:top w:w="75" w:type="dxa"/>
              <w:start w:w="100" w:type="dxa"/>
              <w:bottom w:w="75" w:type="dxa"/>
              <w:end w:w="100" w:type="dxa"/>
            </w:tcMar>
            <w:vAlign w:val="center"/>
          </w:tcPr>
          <w:p>
            <w:pPr>
              <w:spacing w:after="0" w:line="264" w:lineRule="auto"/>
            </w:pPr>
            <w:r>
              <w:rPr>
                <w:sz w:val="17"/>
              </w:rPr>
              <w:t>Hypergeometric Distribution Diversity, an expected distinct-type proportion for a without-replacement sample.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Lemma</w:t>
            </w:r>
          </w:p>
        </w:tc>
        <w:tc>
          <w:tcPr>
            <w:tcW w:type="dxa" w:w="7260"/>
            <w:tcMar>
              <w:top w:w="75" w:type="dxa"/>
              <w:start w:w="100" w:type="dxa"/>
              <w:bottom w:w="75" w:type="dxa"/>
              <w:end w:w="100" w:type="dxa"/>
            </w:tcMar>
            <w:vAlign w:val="center"/>
          </w:tcPr>
          <w:p>
            <w:pPr>
              <w:spacing w:after="0" w:line="264" w:lineRule="auto"/>
            </w:pPr>
            <w:r>
              <w:rPr>
                <w:sz w:val="17"/>
              </w:rPr>
              <w:t>A POS-aware normalized dictionary form retained separately from the original surface form.</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MATTR</w:t>
            </w:r>
          </w:p>
        </w:tc>
        <w:tc>
          <w:tcPr>
            <w:tcW w:type="dxa" w:w="7260"/>
            <w:tcMar>
              <w:top w:w="75" w:type="dxa"/>
              <w:start w:w="100" w:type="dxa"/>
              <w:bottom w:w="75" w:type="dxa"/>
              <w:end w:w="100" w:type="dxa"/>
            </w:tcMar>
            <w:vAlign w:val="center"/>
          </w:tcPr>
          <w:p>
            <w:pPr>
              <w:spacing w:after="0" w:line="264" w:lineRule="auto"/>
            </w:pPr>
            <w:r>
              <w:rPr>
                <w:sz w:val="17"/>
              </w:rPr>
              <w:t>Moving-Average Type-Token Ratio across overlapping fixed windows.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MTLD</w:t>
            </w:r>
          </w:p>
        </w:tc>
        <w:tc>
          <w:tcPr>
            <w:tcW w:type="dxa" w:w="7260"/>
            <w:tcMar>
              <w:top w:w="75" w:type="dxa"/>
              <w:start w:w="100" w:type="dxa"/>
              <w:bottom w:w="75" w:type="dxa"/>
              <w:end w:w="100" w:type="dxa"/>
            </w:tcMar>
            <w:vAlign w:val="center"/>
          </w:tcPr>
          <w:p>
            <w:pPr>
              <w:spacing w:after="0" w:line="264" w:lineRule="auto"/>
            </w:pPr>
            <w:r>
              <w:rPr>
                <w:sz w:val="17"/>
              </w:rPr>
              <w:t>Measure of Textual Lexical Diversity based on sequence length that maintains a configured TTR threshold.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Observation-weighted mean</w:t>
            </w:r>
          </w:p>
        </w:tc>
        <w:tc>
          <w:tcPr>
            <w:tcW w:type="dxa" w:w="7260"/>
            <w:tcMar>
              <w:top w:w="75" w:type="dxa"/>
              <w:start w:w="100" w:type="dxa"/>
              <w:bottom w:w="75" w:type="dxa"/>
              <w:end w:w="100" w:type="dxa"/>
            </w:tcMar>
            <w:vAlign w:val="center"/>
          </w:tcPr>
          <w:p>
            <w:pPr>
              <w:spacing w:after="0" w:line="264" w:lineRule="auto"/>
            </w:pPr>
            <w:r>
              <w:rPr>
                <w:sz w:val="17"/>
              </w:rPr>
              <w:t>A corpus summary giving greater influence to works with more retained observations.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PCA</w:t>
            </w:r>
          </w:p>
        </w:tc>
        <w:tc>
          <w:tcPr>
            <w:tcW w:type="dxa" w:w="7260"/>
            <w:tcMar>
              <w:top w:w="75" w:type="dxa"/>
              <w:start w:w="100" w:type="dxa"/>
              <w:bottom w:w="75" w:type="dxa"/>
              <w:end w:w="100" w:type="dxa"/>
            </w:tcMar>
            <w:vAlign w:val="center"/>
          </w:tcPr>
          <w:p>
            <w:pPr>
              <w:spacing w:after="0" w:line="264" w:lineRule="auto"/>
            </w:pPr>
            <w:r>
              <w:rPr>
                <w:sz w:val="17"/>
              </w:rPr>
              <w:t>Principal Component Analysis; in VerseMap, deterministic composite axes for two-dimensional display.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PoetryID category fit</w:t>
            </w:r>
          </w:p>
        </w:tc>
        <w:tc>
          <w:tcPr>
            <w:tcW w:type="dxa" w:w="7260"/>
            <w:tcMar>
              <w:top w:w="75" w:type="dxa"/>
              <w:start w:w="100" w:type="dxa"/>
              <w:bottom w:w="75" w:type="dxa"/>
              <w:end w:w="100" w:type="dxa"/>
            </w:tcMar>
            <w:vAlign w:val="center"/>
          </w:tcPr>
          <w:p>
            <w:pPr>
              <w:spacing w:after="0" w:line="264" w:lineRule="auto"/>
            </w:pPr>
            <w:r>
              <w:rPr>
                <w:sz w:val="17"/>
              </w:rPr>
              <w:t>Prominent rule-based VAD category candidate among 27 profiles; not an emotional diagnosis.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PoetryID nearest centroid</w:t>
            </w:r>
          </w:p>
        </w:tc>
        <w:tc>
          <w:tcPr>
            <w:tcW w:type="dxa" w:w="7260"/>
            <w:tcMar>
              <w:top w:w="75" w:type="dxa"/>
              <w:start w:w="100" w:type="dxa"/>
              <w:bottom w:w="75" w:type="dxa"/>
              <w:end w:w="100" w:type="dxa"/>
            </w:tcMar>
            <w:vAlign w:val="center"/>
          </w:tcPr>
          <w:p>
            <w:pPr>
              <w:spacing w:after="0" w:line="264" w:lineRule="auto"/>
            </w:pPr>
            <w:r>
              <w:rPr>
                <w:sz w:val="17"/>
              </w:rPr>
              <w:t>Secondary Euclidean nearest-candidate profile in normalized VAD space.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Range</w:t>
            </w:r>
          </w:p>
        </w:tc>
        <w:tc>
          <w:tcPr>
            <w:tcW w:type="dxa" w:w="7260"/>
            <w:tcMar>
              <w:top w:w="75" w:type="dxa"/>
              <w:start w:w="100" w:type="dxa"/>
              <w:bottom w:w="75" w:type="dxa"/>
              <w:end w:w="100" w:type="dxa"/>
            </w:tcMar>
            <w:vAlign w:val="center"/>
          </w:tcPr>
          <w:p>
            <w:pPr>
              <w:spacing w:after="0" w:line="264" w:lineRule="auto"/>
            </w:pPr>
            <w:r>
              <w:rPr>
                <w:sz w:val="17"/>
              </w:rPr>
              <w:t>Observed maximum minus minimum; a descriptive span, not an effect size or significance test.</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Rarity</w:t>
            </w:r>
          </w:p>
        </w:tc>
        <w:tc>
          <w:tcPr>
            <w:tcW w:type="dxa" w:w="7260"/>
            <w:tcMar>
              <w:top w:w="75" w:type="dxa"/>
              <w:start w:w="100" w:type="dxa"/>
              <w:bottom w:w="75" w:type="dxa"/>
              <w:end w:w="100" w:type="dxa"/>
            </w:tcMar>
            <w:vAlign w:val="center"/>
          </w:tcPr>
          <w:p>
            <w:pPr>
              <w:spacing w:after="0" w:line="264" w:lineRule="auto"/>
            </w:pPr>
            <w:r>
              <w:rPr>
                <w:sz w:val="17"/>
              </w:rPr>
              <w:t>VerseVAD display transformation of SUBTLEX Zipf frequency so larger values indicate rarer matched vocabulary.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Scenario</w:t>
            </w:r>
          </w:p>
        </w:tc>
        <w:tc>
          <w:tcPr>
            <w:tcW w:type="dxa" w:w="7260"/>
            <w:tcMar>
              <w:top w:w="75" w:type="dxa"/>
              <w:start w:w="100" w:type="dxa"/>
              <w:bottom w:w="75" w:type="dxa"/>
              <w:end w:w="100" w:type="dxa"/>
            </w:tcMar>
            <w:vAlign w:val="center"/>
          </w:tcPr>
          <w:p>
            <w:pPr>
              <w:spacing w:after="0" w:line="264" w:lineRule="auto"/>
            </w:pPr>
            <w:r>
              <w:rPr>
                <w:sz w:val="17"/>
              </w:rPr>
              <w:t>A versioned set of review decisions applied to a corpus analysis without overwriting the baseline.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Standard deviation</w:t>
            </w:r>
          </w:p>
        </w:tc>
        <w:tc>
          <w:tcPr>
            <w:tcW w:type="dxa" w:w="7260"/>
            <w:tcMar>
              <w:top w:w="75" w:type="dxa"/>
              <w:start w:w="100" w:type="dxa"/>
              <w:bottom w:w="75" w:type="dxa"/>
              <w:end w:w="100" w:type="dxa"/>
            </w:tcMar>
            <w:vAlign w:val="center"/>
          </w:tcPr>
          <w:p>
            <w:pPr>
              <w:spacing w:after="0" w:line="264" w:lineRule="auto"/>
            </w:pPr>
            <w:r>
              <w:rPr>
                <w:sz w:val="17"/>
              </w:rPr>
              <w:t>Dispersion in the units of the summarized value; its level must be identified.</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Token weighting</w:t>
            </w:r>
          </w:p>
        </w:tc>
        <w:tc>
          <w:tcPr>
            <w:tcW w:type="dxa" w:w="7260"/>
            <w:tcMar>
              <w:top w:w="75" w:type="dxa"/>
              <w:start w:w="100" w:type="dxa"/>
              <w:bottom w:w="75" w:type="dxa"/>
              <w:end w:w="100" w:type="dxa"/>
            </w:tcMar>
            <w:vAlign w:val="center"/>
          </w:tcPr>
          <w:p>
            <w:pPr>
              <w:spacing w:after="0" w:line="264" w:lineRule="auto"/>
            </w:pPr>
            <w:r>
              <w:rPr>
                <w:sz w:val="17"/>
              </w:rPr>
              <w:t>Each retained occurrence contributes, preserving repetition.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Type weighting</w:t>
            </w:r>
          </w:p>
        </w:tc>
        <w:tc>
          <w:tcPr>
            <w:tcW w:type="dxa" w:w="7260"/>
            <w:tcMar>
              <w:top w:w="75" w:type="dxa"/>
              <w:start w:w="100" w:type="dxa"/>
              <w:bottom w:w="75" w:type="dxa"/>
              <w:end w:w="100" w:type="dxa"/>
            </w:tcMar>
            <w:vAlign w:val="center"/>
          </w:tcPr>
          <w:p>
            <w:pPr>
              <w:spacing w:after="0" w:line="264" w:lineRule="auto"/>
            </w:pPr>
            <w:r>
              <w:rPr>
                <w:sz w:val="17"/>
              </w:rPr>
              <w:t>Each retained distinct form contributes once within the defined scope.</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Valence</w:t>
            </w:r>
          </w:p>
        </w:tc>
        <w:tc>
          <w:tcPr>
            <w:tcW w:type="dxa" w:w="7260"/>
            <w:tcMar>
              <w:top w:w="75" w:type="dxa"/>
              <w:start w:w="100" w:type="dxa"/>
              <w:bottom w:w="75" w:type="dxa"/>
              <w:end w:w="100" w:type="dxa"/>
            </w:tcMar>
            <w:vAlign w:val="center"/>
          </w:tcPr>
          <w:p>
            <w:pPr>
              <w:spacing w:after="0" w:line="264" w:lineRule="auto"/>
            </w:pPr>
            <w:r>
              <w:rPr>
                <w:sz w:val="17"/>
              </w:rPr>
              <w:t>Normative lexical association with positive or negative pleasantness.</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VerseMap Standard Profile 1.0</w:t>
            </w:r>
          </w:p>
        </w:tc>
        <w:tc>
          <w:tcPr>
            <w:tcW w:type="dxa" w:w="7260"/>
            <w:tcMar>
              <w:top w:w="75" w:type="dxa"/>
              <w:start w:w="100" w:type="dxa"/>
              <w:bottom w:w="75" w:type="dxa"/>
              <w:end w:w="100" w:type="dxa"/>
            </w:tcMar>
            <w:vAlign w:val="center"/>
          </w:tcPr>
          <w:p>
            <w:pPr>
              <w:spacing w:after="0" w:line="264" w:lineRule="auto"/>
            </w:pPr>
            <w:r>
              <w:rPr>
                <w:sz w:val="17"/>
              </w:rPr>
              <w:t>The fixed, sound-free, versioned profile used for fair target and reference comparison.</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VV-PRE</w:t>
            </w:r>
          </w:p>
        </w:tc>
        <w:tc>
          <w:tcPr>
            <w:tcW w:type="dxa" w:w="7260"/>
            <w:tcMar>
              <w:top w:w="75" w:type="dxa"/>
              <w:start w:w="100" w:type="dxa"/>
              <w:bottom w:w="75" w:type="dxa"/>
              <w:end w:w="100" w:type="dxa"/>
            </w:tcMar>
            <w:vAlign w:val="center"/>
          </w:tcPr>
          <w:p>
            <w:pPr>
              <w:spacing w:after="0" w:line="264" w:lineRule="auto"/>
            </w:pPr>
            <w:r>
              <w:rPr>
                <w:sz w:val="17"/>
              </w:rPr>
              <w:t>Experimental VerseVAD Poetic Reading Ease estimate of surface lexical and presentational accessibility.</w:t>
            </w:r>
          </w:p>
        </w:tc>
      </w:tr>
      <w:tr>
        <w:trPr>
          <w:cantSplit/>
          <w:trHeight w:hRule="atLeast"/>
        </w:trPr>
        <w:tc>
          <w:tcPr>
            <w:tcW w:type="dxa" w:w="2100"/>
            <w:tcMar>
              <w:top w:w="75" w:type="dxa"/>
              <w:start w:w="100" w:type="dxa"/>
              <w:bottom w:w="75" w:type="dxa"/>
              <w:end w:w="100" w:type="dxa"/>
            </w:tcMar>
            <w:vAlign w:val="center"/>
          </w:tcPr>
          <w:p>
            <w:pPr>
              <w:spacing w:after="0" w:line="264" w:lineRule="auto"/>
            </w:pPr>
            <w:r>
              <w:rPr>
                <w:sz w:val="17"/>
              </w:rPr>
              <w:t>Z-score</w:t>
            </w:r>
          </w:p>
        </w:tc>
        <w:tc>
          <w:tcPr>
            <w:tcW w:type="dxa" w:w="7260"/>
            <w:tcMar>
              <w:top w:w="75" w:type="dxa"/>
              <w:start w:w="100" w:type="dxa"/>
              <w:bottom w:w="75" w:type="dxa"/>
              <w:end w:w="100" w:type="dxa"/>
            </w:tcMar>
            <w:vAlign w:val="center"/>
          </w:tcPr>
          <w:p>
            <w:pPr>
              <w:spacing w:after="0" w:line="264" w:lineRule="auto"/>
            </w:pPr>
            <w:r>
              <w:rPr>
                <w:sz w:val="17"/>
              </w:rPr>
              <w:t>Difference from a named reference mean divided by that reference standard deviation.</w:t>
            </w:r>
          </w:p>
        </w:tc>
      </w:tr>
    </w:tbl>
    <w:sectPr w:rsidR="00FC693F" w:rsidRPr="0006063C" w:rsidSect="00034616">
      <w:headerReference w:type="default" r:id="rId9"/>
      <w:footerReference w:type="default" r:id="rId10"/>
      <w:headerReference w:type="first" r:id="rId14"/>
      <w:headerReference w:type="even" r:id="rId15"/>
      <w:footerReference w:type="first" r:id="rId16"/>
      <w:footerReference w:type="even" r:id="rId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5E6B75"/>
        <w:sz w:val="16"/>
      </w:rPr>
      <w:t>Free VerseVAD Training Material · Version 1.0</w:t>
    </w:r>
    <w:r>
      <w:tab/>
    </w:r>
    <w:r>
      <w:rPr>
        <w:sz w:val="16"/>
      </w:rPr>
      <w:t xml:space="preserve">Page </w:t>
    </w:r>
    <w:r/>
    <w:r/>
    <w:r/>
    <w:r>
      <w:rPr>
        <w:rFonts w:ascii="Calibri" w:hAnsi="Calibri"/>
        <w:sz w:val="16"/>
      </w:rPr>
      <w:t>1</w:t>
    </w:r>
    <w:r/>
    <w:r>
      <w:rPr>
        <w:sz w:val="16"/>
      </w:rPr>
      <w:t xml:space="preserve"> of </w:t>
    </w:r>
    <w:r/>
    <w:r/>
    <w:r/>
    <w:r>
      <w:rPr>
        <w:rFonts w:ascii="Calibri" w:hAnsi="Calibri"/>
        <w:sz w:val="16"/>
      </w:rPr>
      <w:t>1</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b/>
        <w:color w:val="5E6B75"/>
        <w:sz w:val="16"/>
      </w:rPr>
      <w:t>Advanced Corpus and Research Analysis · Learner Manual</w:t>
    </w:r>
    <w:r>
      <w:tab/>
    </w:r>
    <w:r>
      <w:rPr>
        <w:rFonts w:ascii="Calibri" w:hAnsi="Calibri"/>
        <w:b/>
        <w:color w:val="8A3B20"/>
        <w:sz w:val="16"/>
      </w:rPr>
      <w:t>TRAINING 1.0 · FREE COURSE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color w:val="1E2B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224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360"/>
    </w:pPr>
    <w:rPr>
      <w:rFonts w:asciiTheme="majorHAnsi" w:eastAsiaTheme="majorEastAsia" w:hAnsiTheme="majorHAnsi" w:cstheme="majorBidi" w:ascii="Calibri" w:hAnsi="Calibri"/>
      <w:b w:val="0"/>
      <w:i/>
      <w:iCs/>
      <w:color w:val="8A3B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color w:val="1E2B34"/>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color w:val="1E2B34"/>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200"/>
    </w:pPr>
    <w:rPr>
      <w:rFonts w:ascii="Calibri" w:hAnsi="Calibri"/>
      <w:b/>
      <w:bCs/>
      <w:i/>
      <w:color w:val="5E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seVADBullet">
    <w:name w:val="VerseVAD Bullet"/>
    <w:basedOn w:val="Normal"/>
    <w:pPr>
      <w:spacing w:after="80" w:line="300" w:lineRule="auto"/>
      <w:ind w:left="540" w:hanging="271"/>
    </w:pPr>
  </w:style>
  <w:style w:type="paragraph" w:customStyle="1" w:styleId="VerseVADNumber">
    <w:name w:val="VerseVAD Number"/>
    <w:basedOn w:val="Normal"/>
    <w:pPr>
      <w:spacing w:after="80" w:line="300" w:lineRule="auto"/>
      <w:ind w:left="540" w:hanging="271"/>
    </w:pPr>
  </w:style>
  <w:style w:type="paragraph" w:customStyle="1" w:styleId="VerseVADOption">
    <w:name w:val="VerseVAD Option"/>
    <w:basedOn w:val="Normal"/>
    <w:pPr>
      <w:keepLines/>
      <w:spacing w:after="60"/>
      <w:ind w:left="576" w:hanging="360"/>
    </w:pPr>
  </w:style>
  <w:style w:type="paragraph" w:customStyle="1" w:styleId="VerseVADKicker">
    <w:name w:val="VerseVAD Kicker"/>
    <w:basedOn w:val="Normal"/>
    <w:pPr>
      <w:keepNext/>
      <w:spacing w:after="160"/>
    </w:pPr>
    <w:rPr>
      <w:rFonts w:ascii="Calibri" w:hAnsi="Calibri"/>
      <w:b/>
      <w:color w:val="8A3B2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Corpus and Research Analysis</dc:title>
  <dc:subject>A 24–40 hours independent-study course aligned to VerseVAD 1.0.0</dc:subject>
  <dc:creator/>
  <cp:keywords>VerseVAD; computational poetics; free training; learner material</cp:keywords>
  <dc:description>Free VerseVAD Training Material</dc:description>
  <cp:lastModifiedBy/>
  <cp:revision>1</cp:revision>
  <dcterms:created xsi:type="dcterms:W3CDTF">2013-12-23T23:15:00Z</dcterms:created>
  <dcterms:modified xsi:type="dcterms:W3CDTF">2013-12-23T23:15:00Z</dcterms:modified>
  <cp:category/>
</cp:coreProperties>
</file>