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AUTHORIZED INSTRUCTOR TRAINING</w:t>
      </w:r>
    </w:p>
    <w:p>
      <w:pPr>
        <w:pStyle w:val="Title"/>
        <w:jc w:val="center"/>
      </w:pPr>
      <w:r>
        <w:t>VerseVAD Authorized Instructor Training</w:t>
      </w:r>
    </w:p>
    <w:p>
      <w:pPr>
        <w:pStyle w:val="Subtitle"/>
        <w:jc w:val="center"/>
      </w:pPr>
      <w:r>
        <w:t>Authorization-Readiness Teaching Practicum</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Applied performance assessment for VerseVAD Authorized Instructor training course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15–25 hours plus observed teaching</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Analyst Level 1 for Foundations/Level 1 instruction; Level 2 for advanced corpus/research instruction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color w:val="1F4D78"/>
        </w:rPr>
        <w:t>Purpose</w:t>
      </w:r>
    </w:p>
    <w:p>
      <w:pPr>
        <w:spacing w:after="80"/>
      </w:pPr>
      <w:r>
        <w:rPr>
          <w:b/>
          <w:color w:val="1F4D78"/>
        </w:rPr>
        <w:t>Assignment at a Glance</w:t>
      </w:r>
    </w:p>
    <w:p>
      <w:pPr>
        <w:spacing w:after="80"/>
      </w:pPr>
      <w:r>
        <w:rPr>
          <w:b/>
          <w:color w:val="1F4D78"/>
        </w:rPr>
        <w:t>Required Workflow</w:t>
      </w:r>
    </w:p>
    <w:p>
      <w:pPr>
        <w:spacing w:after="80"/>
      </w:pPr>
      <w:r>
        <w:rPr>
          <w:b/>
          <w:color w:val="1F4D78"/>
        </w:rPr>
        <w:t>Submission Specifications</w:t>
      </w:r>
    </w:p>
    <w:p>
      <w:pPr>
        <w:spacing w:after="80"/>
      </w:pPr>
      <w:r>
        <w:rPr>
          <w:b/>
          <w:color w:val="1F4D78"/>
        </w:rPr>
        <w:t>Templates and Checklists</w:t>
      </w:r>
    </w:p>
    <w:p>
      <w:pPr>
        <w:spacing w:after="80"/>
      </w:pPr>
      <w:r>
        <w:rPr>
          <w:b/>
          <w:color w:val="1F4D78"/>
        </w:rPr>
        <w:t>Integrity and Privacy</w:t>
      </w:r>
    </w:p>
    <w:p>
      <w:pPr>
        <w:pStyle w:val="Heading1"/>
      </w:pPr>
      <w:r>
        <w:t>Purpose</w:t>
      </w:r>
    </w:p>
    <w:p>
      <w:r>
        <w:t>This assignment requires actual VerseVAD use and an auditable interpretive or instructional product. It assesses whether the learner can select a method, operate the software, inspect evidence, make a restrained claim, and preserve reproducibility. A polished essay or lesson cannot compensate for fabricated, incompatible, unauthorized, or methodologically misrepresented evidence.</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e assignment does not authorize distribution of third-party lexicons, copyrighted texts, private poems, databases, notes, or evaluator materials."/>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The assignment does not authorize distribution of third-party lexicons, copyrighted texts, private poems, databases, notes, or evaluator materials.</w:t>
            </w:r>
          </w:p>
        </w:tc>
      </w:tr>
    </w:tbl>
    <w:p>
      <w:pPr>
        <w:spacing w:after="0"/>
      </w:pPr>
    </w:p>
    <w:p>
      <w:pPr>
        <w:pStyle w:val="Heading1"/>
      </w:pPr>
      <w:r>
        <w:t>Assignment at a Glance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at a glance"/>
        <w:tblDescription w:val="Scope, length, text or corpus, software version, scoring, and credential boundary."/>
      </w:tblPr>
      <w:tblGrid>
        <w:gridCol w:w="4680"/>
        <w:gridCol w:w="468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Element</w:t>
            </w:r>
          </w:p>
        </w:tc>
        <w:tc>
          <w:tcPr>
            <w:tcW w:type="dxa" w:w="70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Title</w:t>
            </w:r>
          </w:p>
        </w:tc>
        <w:tc>
          <w:tcPr>
            <w:tcW w:type="dxa" w:w="7060"/>
            <w:tcMar>
              <w:top w:w="75" w:type="dxa"/>
              <w:start w:w="100" w:type="dxa"/>
              <w:bottom w:w="75" w:type="dxa"/>
              <w:end w:w="100" w:type="dxa"/>
            </w:tcMar>
            <w:vAlign w:val="center"/>
          </w:tcPr>
          <w:p>
            <w:pPr>
              <w:spacing w:after="0" w:line="264" w:lineRule="auto"/>
            </w:pPr>
            <w:r>
              <w:rPr>
                <w:sz w:val="17"/>
              </w:rPr>
              <w:t>Authorization-Readiness Teaching Practicum</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Length / performance</w:t>
            </w:r>
          </w:p>
        </w:tc>
        <w:tc>
          <w:tcPr>
            <w:tcW w:type="dxa" w:w="7060"/>
            <w:tcMar>
              <w:top w:w="75" w:type="dxa"/>
              <w:start w:w="100" w:type="dxa"/>
              <w:bottom w:w="75" w:type="dxa"/>
              <w:end w:w="100" w:type="dxa"/>
            </w:tcMar>
            <w:vAlign w:val="center"/>
          </w:tcPr>
          <w:p>
            <w:pPr>
              <w:spacing w:after="0" w:line="264" w:lineRule="auto"/>
            </w:pPr>
            <w:r>
              <w:rPr>
                <w:sz w:val="17"/>
              </w:rPr>
              <w:t>25–35 minute observed session plus 1,500–2,500 word instructional portfolio</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Text or corpus</w:t>
            </w:r>
          </w:p>
        </w:tc>
        <w:tc>
          <w:tcPr>
            <w:tcW w:type="dxa" w:w="7060"/>
            <w:tcMar>
              <w:top w:w="75" w:type="dxa"/>
              <w:start w:w="100" w:type="dxa"/>
              <w:bottom w:w="75" w:type="dxa"/>
              <w:end w:w="100" w:type="dxa"/>
            </w:tcMar>
            <w:vAlign w:val="center"/>
          </w:tcPr>
          <w:p>
            <w:pPr>
              <w:spacing w:after="0" w:line="264" w:lineRule="auto"/>
            </w:pPr>
            <w:r>
              <w:rPr>
                <w:sz w:val="17"/>
              </w:rPr>
              <w:t>One owner-approved public-domain teaching text and, when needed, a short synthetic comparison example</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Software basis</w:t>
            </w:r>
          </w:p>
        </w:tc>
        <w:tc>
          <w:tcPr>
            <w:tcW w:type="dxa" w:w="7060"/>
            <w:tcMar>
              <w:top w:w="75" w:type="dxa"/>
              <w:start w:w="100" w:type="dxa"/>
              <w:bottom w:w="75" w:type="dxa"/>
              <w:end w:w="100" w:type="dxa"/>
            </w:tcMar>
            <w:vAlign w:val="center"/>
          </w:tcPr>
          <w:p>
            <w:pPr>
              <w:spacing w:after="0" w:line="264" w:lineRule="auto"/>
            </w:pPr>
            <w:r>
              <w:rPr>
                <w:sz w:val="17"/>
              </w:rPr>
              <w:t>VerseVAD 1.0.0, implementation a7d93c6</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Scoring</w:t>
            </w:r>
          </w:p>
        </w:tc>
        <w:tc>
          <w:tcPr>
            <w:tcW w:type="dxa" w:w="7060"/>
            <w:tcMar>
              <w:top w:w="75" w:type="dxa"/>
              <w:start w:w="100" w:type="dxa"/>
              <w:bottom w:w="75" w:type="dxa"/>
              <w:end w:w="100" w:type="dxa"/>
            </w:tcMar>
            <w:vAlign w:val="center"/>
          </w:tcPr>
          <w:p>
            <w:pPr>
              <w:spacing w:after="0" w:line="264" w:lineRule="auto"/>
            </w:pPr>
            <w:r>
              <w:rPr>
                <w:sz w:val="17"/>
              </w:rPr>
              <w:t>Separate 100-point analytic rubric; critical-error review applies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Credential boundary</w:t>
            </w:r>
          </w:p>
        </w:tc>
        <w:tc>
          <w:tcPr>
            <w:tcW w:type="dxa" w:w="7060"/>
            <w:tcMar>
              <w:top w:w="75" w:type="dxa"/>
              <w:start w:w="100" w:type="dxa"/>
              <w:bottom w:w="75" w:type="dxa"/>
              <w:end w:w="100" w:type="dxa"/>
            </w:tcMar>
            <w:vAlign w:val="center"/>
          </w:tcPr>
          <w:p>
            <w:pPr>
              <w:spacing w:after="0" w:line="264" w:lineRule="auto"/>
            </w:pPr>
            <w:r>
              <w:rPr>
                <w:sz w:val="17"/>
              </w:rPr>
              <w:t>Submission supports owner-approved evaluation but does not generate a certificate or authorization</w:t>
            </w:r>
          </w:p>
        </w:tc>
      </w:tr>
    </w:tbl>
    <w:p>
      <w:pPr>
        <w:pStyle w:val="Heading1"/>
      </w:pPr>
      <w:r>
        <w:t>Required Deliverables</w:t>
      </w:r>
    </w:p>
    <w:p>
      <w:pPr>
        <w:pStyle w:val="ListBullet"/>
      </w:pPr>
      <w:r>
        <w:t>Scope declaration and prerequisite evidence</w:t>
      </w:r>
    </w:p>
    <w:p>
      <w:pPr>
        <w:pStyle w:val="ListBullet"/>
      </w:pPr>
      <w:r>
        <w:t>Lesson plan with outcomes, timing, activities, checks, and contingency plan</w:t>
      </w:r>
    </w:p>
    <w:p>
      <w:pPr>
        <w:pStyle w:val="ListBullet"/>
      </w:pPr>
      <w:r>
        <w:t>Accessible learner handout or slides with alt text and transcript-equivalent content</w:t>
      </w:r>
    </w:p>
    <w:p>
      <w:pPr>
        <w:pStyle w:val="ListBullet"/>
      </w:pPr>
      <w:r>
        <w:t>Live or recorded VerseVAD demonstration using current labels and methods</w:t>
      </w:r>
    </w:p>
    <w:p>
      <w:pPr>
        <w:pStyle w:val="ListBullet"/>
      </w:pPr>
      <w:r>
        <w:t>Facilitated close-reading activity and formative assessment</w:t>
      </w:r>
    </w:p>
    <w:p>
      <w:pPr>
        <w:pStyle w:val="ListBullet"/>
      </w:pPr>
      <w:r>
        <w:t>Scored sample learner response with calibration rationale</w:t>
      </w:r>
    </w:p>
    <w:p>
      <w:pPr>
        <w:pStyle w:val="ListBullet"/>
      </w:pPr>
      <w:r>
        <w:t>Ethics, privacy, data-rights, support, and escalation plan</w:t>
      </w:r>
    </w:p>
    <w:p>
      <w:pPr>
        <w:pStyle w:val="ListBullet"/>
      </w:pPr>
      <w:r>
        <w:t>Version-validation checklist</w:t>
      </w:r>
    </w:p>
    <w:p>
      <w:pPr>
        <w:pStyle w:val="ListBullet"/>
      </w:pPr>
      <w:r>
        <w:t>Post-observation reflection and revision plan</w:t>
      </w:r>
    </w:p>
    <w:p>
      <w:pPr>
        <w:pStyle w:val="Heading1"/>
      </w:pPr>
      <w:r>
        <w:t>Required Workflow</w:t>
      </w:r>
    </w:p>
    <w:p>
      <w:pPr>
        <w:pStyle w:val="Heading2"/>
      </w:pPr>
      <w:r>
        <w:t>Part A · Planning and source control</w:t>
      </w:r>
    </w:p>
    <w:p>
      <w:pPr>
        <w:pStyle w:val="ListNumber"/>
      </w:pPr>
      <w:r>
        <w:t>State the scholarly or instructional question and the unit of analysis.</w:t>
      </w:r>
    </w:p>
    <w:p>
      <w:pPr>
        <w:pStyle w:val="ListNumber"/>
      </w:pPr>
      <w:r>
        <w:t>Verify rights, source identity, edition, text integrity, and metadata.</w:t>
      </w:r>
    </w:p>
    <w:p>
      <w:pPr>
        <w:pStyle w:val="ListNumber"/>
      </w:pPr>
      <w:r>
        <w:t>Write the intended metric or teaching evidence before inspecting results.</w:t>
      </w:r>
    </w:p>
    <w:p>
      <w:pPr>
        <w:pStyle w:val="ListNumber"/>
      </w:pPr>
      <w:r>
        <w:t>Record an alternative explanation and a condition that would require revision.</w:t>
      </w:r>
    </w:p>
    <w:p>
      <w:pPr>
        <w:pStyle w:val="Heading2"/>
      </w:pPr>
      <w:r>
        <w:t>Part B · Practical software validation</w:t>
      </w:r>
    </w:p>
    <w:p>
      <w:pPr>
        <w:pStyle w:val="ListNumber"/>
      </w:pPr>
      <w:r>
        <w:t>Complete a technical, resource, accessibility, privacy, and rights preflight.</w:t>
      </w:r>
    </w:p>
    <w:p>
      <w:pPr>
        <w:pStyle w:val="ListNumber"/>
      </w:pPr>
      <w:r>
        <w:t>Orient learners to the current workspace and state the literary question before clicking.</w:t>
      </w:r>
    </w:p>
    <w:p>
      <w:pPr>
        <w:pStyle w:val="ListNumber"/>
      </w:pPr>
      <w:r>
        <w:t>Demonstrate profile, configuration, analysis, coverage, evidence, and export with accessible narration.</w:t>
      </w:r>
    </w:p>
    <w:p>
      <w:pPr>
        <w:pStyle w:val="ListNumber"/>
      </w:pPr>
      <w:r>
        <w:t>Facilitate prediction, disagreement, passage return, and revised interpretation.</w:t>
      </w:r>
    </w:p>
    <w:p>
      <w:pPr>
        <w:pStyle w:val="ListNumber"/>
      </w:pPr>
      <w:r>
        <w:t>Administer a formative check and provide rubric-aligned feedback.</w:t>
      </w:r>
    </w:p>
    <w:p>
      <w:pPr>
        <w:pStyle w:val="ListNumber"/>
      </w:pPr>
      <w:r>
        <w:t>Respond to one planned warning or support scenario without fabricating unavailable behavior.</w:t>
      </w:r>
    </w:p>
    <w:p>
      <w:pPr>
        <w:pStyle w:val="Heading2"/>
      </w:pPr>
      <w:r>
        <w:t>Part C · Evidence audit and synthesis</w:t>
      </w:r>
    </w:p>
    <w:p>
      <w:pPr>
        <w:pStyle w:val="ListNumber"/>
      </w:pPr>
      <w:r>
        <w:t>Record eligible counts, matched counts, coverage, warnings, resource versions, and unresolved evidence.</w:t>
      </w:r>
    </w:p>
    <w:p>
      <w:pPr>
        <w:pStyle w:val="ListNumber"/>
      </w:pPr>
      <w:r>
        <w:t>Identify at least one result that supports the starting hypothesis and one that complicates, redirects, or weakens it.</w:t>
      </w:r>
    </w:p>
    <w:p>
      <w:pPr>
        <w:pStyle w:val="ListNumber"/>
      </w:pPr>
      <w:r>
        <w:t>Return to passages, poems, or learner responses selected through a transparent criterion.</w:t>
      </w:r>
    </w:p>
    <w:p>
      <w:pPr>
        <w:pStyle w:val="ListNumber"/>
      </w:pPr>
      <w:r>
        <w:t>Revise the claim so its scope matches the evidence and its limitations.</w:t>
      </w:r>
    </w:p>
    <w:p>
      <w:pPr>
        <w:pStyle w:val="Heading2"/>
      </w:pPr>
      <w:r>
        <w:t>Part D · Reproducibility and submission</w:t>
      </w:r>
    </w:p>
    <w:p>
      <w:pPr>
        <w:pStyle w:val="ListNumber"/>
      </w:pPr>
      <w:r>
        <w:t>Prepare a concise methods statement naming software, resources, profile, settings, weighting, stopwords, versions, and storage mode.</w:t>
      </w:r>
    </w:p>
    <w:p>
      <w:pPr>
        <w:pStyle w:val="ListNumber"/>
      </w:pPr>
      <w:r>
        <w:t>Attach the narrative deliverable and the minimum statistical or audit evidence needed for evaluation.</w:t>
      </w:r>
    </w:p>
    <w:p>
      <w:pPr>
        <w:pStyle w:val="ListNumber"/>
      </w:pPr>
      <w:r>
        <w:t>Exclude research notes unless deliberately selected and authorized for evaluator review.</w:t>
      </w:r>
    </w:p>
    <w:p>
      <w:pPr>
        <w:pStyle w:val="ListNumber"/>
      </w:pPr>
      <w:r>
        <w:t>Verify that no licensed, copyrighted, private, or evaluator-only material is placed in public source control.</w:t>
      </w:r>
    </w:p>
    <w:p>
      <w:pPr>
        <w:pStyle w:val="Heading1"/>
      </w:pPr>
      <w:r>
        <w:t>Submission Specifications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Applied assignment submission package"/>
        <w:tblDescription w:val="Required files, contents, and privacy handling."/>
      </w:tblPr>
      <w:tblGrid>
        <w:gridCol w:w="3120"/>
        <w:gridCol w:w="3120"/>
        <w:gridCol w:w="3120"/>
      </w:tblGrid>
      <w:tr>
        <w:trPr>
          <w:cantSplit/>
          <w:trHeight w:hRule="atLeast"/>
          <w:tblHeader w:val="true"/>
        </w:trPr>
        <w:tc>
          <w:tcPr>
            <w:tcW w:type="dxa" w:w="2300"/>
            <w:tcMar>
              <w:top w:w="75" w:type="dxa"/>
              <w:start w:w="100" w:type="dxa"/>
              <w:bottom w:w="75" w:type="dxa"/>
              <w:end w:w="100" w:type="dxa"/>
            </w:tcMar>
            <w:vAlign w:val="center"/>
            <w:shd w:fill="E8EEF5"/>
          </w:tcPr>
          <w:p>
            <w:pPr>
              <w:spacing w:after="0" w:line="264" w:lineRule="auto"/>
            </w:pPr>
            <w:r>
              <w:rPr>
                <w:b/>
                <w:color w:val="1F4D78"/>
                <w:sz w:val="17"/>
              </w:rPr>
              <w:t>File</w:t>
            </w:r>
          </w:p>
        </w:tc>
        <w:tc>
          <w:tcPr>
            <w:tcW w:type="dxa" w:w="4360"/>
            <w:tcMar>
              <w:top w:w="75" w:type="dxa"/>
              <w:start w:w="100" w:type="dxa"/>
              <w:bottom w:w="75" w:type="dxa"/>
              <w:end w:w="100" w:type="dxa"/>
            </w:tcMar>
            <w:vAlign w:val="center"/>
            <w:shd w:fill="E8EEF5"/>
          </w:tcPr>
          <w:p>
            <w:pPr>
              <w:spacing w:after="0" w:line="264" w:lineRule="auto"/>
            </w:pPr>
            <w:r>
              <w:rPr>
                <w:b/>
                <w:color w:val="1F4D78"/>
                <w:sz w:val="17"/>
              </w:rPr>
              <w:t>Required contents</w:t>
            </w:r>
          </w:p>
        </w:tc>
        <w:tc>
          <w:tcPr>
            <w:tcW w:type="dxa" w:w="2700"/>
            <w:tcMar>
              <w:top w:w="75" w:type="dxa"/>
              <w:start w:w="100" w:type="dxa"/>
              <w:bottom w:w="75" w:type="dxa"/>
              <w:end w:w="100" w:type="dxa"/>
            </w:tcMar>
            <w:vAlign w:val="center"/>
            <w:shd w:fill="E8EEF5"/>
          </w:tcPr>
          <w:p>
            <w:pPr>
              <w:spacing w:after="0" w:line="264" w:lineRule="auto"/>
            </w:pPr>
            <w:r>
              <w:rPr>
                <w:b/>
                <w:color w:val="1F4D78"/>
                <w:sz w:val="17"/>
              </w:rPr>
              <w:t>Privacy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01_primary.docx or .pdf</w:t>
            </w:r>
          </w:p>
        </w:tc>
        <w:tc>
          <w:tcPr>
            <w:tcW w:type="dxa" w:w="4360"/>
            <w:tcMar>
              <w:top w:w="75" w:type="dxa"/>
              <w:start w:w="100" w:type="dxa"/>
              <w:bottom w:w="75" w:type="dxa"/>
              <w:end w:w="100" w:type="dxa"/>
            </w:tcMar>
            <w:vAlign w:val="center"/>
          </w:tcPr>
          <w:p>
            <w:pPr>
              <w:spacing w:after="0" w:line="264" w:lineRule="auto"/>
            </w:pPr>
            <w:r>
              <w:rPr>
                <w:sz w:val="17"/>
              </w:rPr>
              <w:t>Main analysis, corpus report, or instructional portfolio</w:t>
            </w:r>
          </w:p>
        </w:tc>
        <w:tc>
          <w:tcPr>
            <w:tcW w:type="dxa" w:w="2700"/>
            <w:tcMar>
              <w:top w:w="75" w:type="dxa"/>
              <w:start w:w="100" w:type="dxa"/>
              <w:bottom w:w="75" w:type="dxa"/>
              <w:end w:w="100" w:type="dxa"/>
            </w:tcMar>
            <w:vAlign w:val="center"/>
          </w:tcPr>
          <w:p>
            <w:pPr>
              <w:spacing w:after="0" w:line="264" w:lineRule="auto"/>
            </w:pPr>
            <w:r>
              <w:rPr>
                <w:sz w:val="17"/>
              </w:rPr>
              <w:t>Use a private candidate ID if required</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02_methods.md or .docx</w:t>
            </w:r>
          </w:p>
        </w:tc>
        <w:tc>
          <w:tcPr>
            <w:tcW w:type="dxa" w:w="4360"/>
            <w:tcMar>
              <w:top w:w="75" w:type="dxa"/>
              <w:start w:w="100" w:type="dxa"/>
              <w:bottom w:w="75" w:type="dxa"/>
              <w:end w:w="100" w:type="dxa"/>
            </w:tcMar>
            <w:vAlign w:val="center"/>
          </w:tcPr>
          <w:p>
            <w:pPr>
              <w:spacing w:after="0" w:line="264" w:lineRule="auto"/>
            </w:pPr>
            <w:r>
              <w:rPr>
                <w:sz w:val="17"/>
              </w:rPr>
              <w:t>Question, text/corpus protocol, settings, versions, coverage, and limitations</w:t>
            </w:r>
          </w:p>
        </w:tc>
        <w:tc>
          <w:tcPr>
            <w:tcW w:type="dxa" w:w="2700"/>
            <w:tcMar>
              <w:top w:w="75" w:type="dxa"/>
              <w:start w:w="100" w:type="dxa"/>
              <w:bottom w:w="75" w:type="dxa"/>
              <w:end w:w="100" w:type="dxa"/>
            </w:tcMar>
            <w:vAlign w:val="center"/>
          </w:tcPr>
          <w:p>
            <w:pPr>
              <w:spacing w:after="0" w:line="264" w:lineRule="auto"/>
            </w:pPr>
            <w:r>
              <w:rPr>
                <w:sz w:val="17"/>
              </w:rPr>
              <w:t>Do not embed licensed resource files</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03_evidence.zip</w:t>
            </w:r>
          </w:p>
        </w:tc>
        <w:tc>
          <w:tcPr>
            <w:tcW w:type="dxa" w:w="4360"/>
            <w:tcMar>
              <w:top w:w="75" w:type="dxa"/>
              <w:start w:w="100" w:type="dxa"/>
              <w:bottom w:w="75" w:type="dxa"/>
              <w:end w:w="100" w:type="dxa"/>
            </w:tcMar>
            <w:vAlign w:val="center"/>
          </w:tcPr>
          <w:p>
            <w:pPr>
              <w:spacing w:after="0" w:line="264" w:lineRule="auto"/>
            </w:pPr>
            <w:r>
              <w:rPr>
                <w:sz w:val="17"/>
              </w:rPr>
              <w:t>Selected VerseVAD CSV/DOCX/audit artifacts required for scoring</w:t>
            </w:r>
          </w:p>
        </w:tc>
        <w:tc>
          <w:tcPr>
            <w:tcW w:type="dxa" w:w="2700"/>
            <w:tcMar>
              <w:top w:w="75" w:type="dxa"/>
              <w:start w:w="100" w:type="dxa"/>
              <w:bottom w:w="75" w:type="dxa"/>
              <w:end w:w="100" w:type="dxa"/>
            </w:tcMar>
            <w:vAlign w:val="center"/>
          </w:tcPr>
          <w:p>
            <w:pPr>
              <w:spacing w:after="0" w:line="264" w:lineRule="auto"/>
            </w:pPr>
            <w:r>
              <w:rPr>
                <w:sz w:val="17"/>
              </w:rPr>
              <w:t>Review source text and note inclusion before sharing</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04_manifest.csv</w:t>
            </w:r>
          </w:p>
        </w:tc>
        <w:tc>
          <w:tcPr>
            <w:tcW w:type="dxa" w:w="4360"/>
            <w:tcMar>
              <w:top w:w="75" w:type="dxa"/>
              <w:start w:w="100" w:type="dxa"/>
              <w:bottom w:w="75" w:type="dxa"/>
              <w:end w:w="100" w:type="dxa"/>
            </w:tcMar>
            <w:vAlign w:val="center"/>
          </w:tcPr>
          <w:p>
            <w:pPr>
              <w:spacing w:after="0" w:line="264" w:lineRule="auto"/>
            </w:pPr>
            <w:r>
              <w:rPr>
                <w:sz w:val="17"/>
              </w:rPr>
              <w:t>File names, roles, hashes or stable IDs, and source/rights notes</w:t>
            </w:r>
          </w:p>
        </w:tc>
        <w:tc>
          <w:tcPr>
            <w:tcW w:type="dxa" w:w="2700"/>
            <w:tcMar>
              <w:top w:w="75" w:type="dxa"/>
              <w:start w:w="100" w:type="dxa"/>
              <w:bottom w:w="75" w:type="dxa"/>
              <w:end w:w="100" w:type="dxa"/>
            </w:tcMar>
            <w:vAlign w:val="center"/>
          </w:tcPr>
          <w:p>
            <w:pPr>
              <w:spacing w:after="0" w:line="264" w:lineRule="auto"/>
            </w:pPr>
            <w:r>
              <w:rPr>
                <w:sz w:val="17"/>
              </w:rPr>
              <w:t>Store privately</w:t>
            </w:r>
          </w:p>
        </w:tc>
      </w:tr>
      <w:tr>
        <w:trPr>
          <w:cantSplit/>
          <w:trHeight w:hRule="atLeast"/>
        </w:trPr>
        <w:tc>
          <w:tcPr>
            <w:tcW w:type="dxa" w:w="2300"/>
            <w:tcMar>
              <w:top w:w="75" w:type="dxa"/>
              <w:start w:w="100" w:type="dxa"/>
              <w:bottom w:w="75" w:type="dxa"/>
              <w:end w:w="100" w:type="dxa"/>
            </w:tcMar>
            <w:vAlign w:val="center"/>
          </w:tcPr>
          <w:p>
            <w:pPr>
              <w:spacing w:after="0" w:line="264" w:lineRule="auto"/>
            </w:pPr>
            <w:r>
              <w:rPr>
                <w:sz w:val="17"/>
              </w:rPr>
              <w:t>05_reflection.docx</w:t>
            </w:r>
          </w:p>
        </w:tc>
        <w:tc>
          <w:tcPr>
            <w:tcW w:type="dxa" w:w="4360"/>
            <w:tcMar>
              <w:top w:w="75" w:type="dxa"/>
              <w:start w:w="100" w:type="dxa"/>
              <w:bottom w:w="75" w:type="dxa"/>
              <w:end w:w="100" w:type="dxa"/>
            </w:tcMar>
            <w:vAlign w:val="center"/>
          </w:tcPr>
          <w:p>
            <w:pPr>
              <w:spacing w:after="0" w:line="264" w:lineRule="auto"/>
            </w:pPr>
            <w:r>
              <w:rPr>
                <w:sz w:val="17"/>
              </w:rPr>
              <w:t>Support, challenge, revision, limitation, and next method decision</w:t>
            </w:r>
          </w:p>
        </w:tc>
        <w:tc>
          <w:tcPr>
            <w:tcW w:type="dxa" w:w="2700"/>
            <w:tcMar>
              <w:top w:w="75" w:type="dxa"/>
              <w:start w:w="100" w:type="dxa"/>
              <w:bottom w:w="75" w:type="dxa"/>
              <w:end w:w="100" w:type="dxa"/>
            </w:tcMar>
            <w:vAlign w:val="center"/>
          </w:tcPr>
          <w:p>
            <w:pPr>
              <w:spacing w:after="0" w:line="264" w:lineRule="auto"/>
            </w:pPr>
            <w:r>
              <w:rPr>
                <w:sz w:val="17"/>
              </w:rPr>
              <w:t>May be evaluator-only</w:t>
            </w:r>
          </w:p>
        </w:tc>
      </w:tr>
    </w:tbl>
    <w:p>
      <w:pPr>
        <w:pStyle w:val="Heading1"/>
      </w:pPr>
      <w:r>
        <w:t>Templates and Checklists</w:t>
      </w:r>
    </w:p>
    <w:p>
      <w:pPr>
        <w:pStyle w:val="Heading2"/>
      </w:pPr>
      <w:r>
        <w:t>Methods statement template</w:t>
      </w:r>
    </w:p>
    <w:p>
      <w:r>
        <w:t>This study used **VerseVAD [version/commit]** to analyze **[text/corpus identity]** under **[profile]** with **[lexicons/resources]**. The active view used **[token/type weighting]**, **[all-matched/stopword-excluded]**, and **[relevant POS, threshold, pronunciation, or scenario settings]**. The primary result used **[eligible denominator]**, with **[matched count and coverage]**. **[Warnings/unresolved evidence]** limit the claim by **[consequence]**. Exports and private research records were stored at **[location]** under **[rights/privacy plan]**.</w:t>
      </w:r>
    </w:p>
    <w:p>
      <w:pPr>
        <w:pStyle w:val="Heading2"/>
      </w:pPr>
      <w:r>
        <w:t>Evidence-to-claim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Evidence-to-claim planning matrix"/>
        <w:tblDescription w:val="Blank worksheet connecting results, local evidence, limitations, and revised interpretation."/>
      </w:tblPr>
      <w:tblGrid>
        <w:gridCol w:w="1872"/>
        <w:gridCol w:w="1872"/>
        <w:gridCol w:w="1872"/>
        <w:gridCol w:w="1872"/>
        <w:gridCol w:w="1872"/>
      </w:tblGrid>
      <w:tr>
        <w:trPr>
          <w:cantSplit/>
          <w:trHeight w:hRule="atLeast"/>
          <w:tblHeader w:val="true"/>
        </w:trPr>
        <w:tc>
          <w:tcPr>
            <w:tcW w:type="dxa" w:w="1600"/>
            <w:tcMar>
              <w:top w:w="75" w:type="dxa"/>
              <w:start w:w="100" w:type="dxa"/>
              <w:bottom w:w="75" w:type="dxa"/>
              <w:end w:w="100" w:type="dxa"/>
            </w:tcMar>
            <w:vAlign w:val="center"/>
            <w:shd w:fill="E8EEF5"/>
          </w:tcPr>
          <w:p>
            <w:pPr>
              <w:spacing w:after="0" w:line="264" w:lineRule="auto"/>
            </w:pPr>
            <w:r>
              <w:rPr>
                <w:b/>
                <w:color w:val="1F4D78"/>
                <w:sz w:val="17"/>
              </w:rPr>
              <w:t>Claim component</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VerseVAD evidence</w:t>
            </w:r>
          </w:p>
        </w:tc>
        <w:tc>
          <w:tcPr>
            <w:tcW w:type="dxa" w:w="2100"/>
            <w:tcMar>
              <w:top w:w="75" w:type="dxa"/>
              <w:start w:w="100" w:type="dxa"/>
              <w:bottom w:w="75" w:type="dxa"/>
              <w:end w:w="100" w:type="dxa"/>
            </w:tcMar>
            <w:vAlign w:val="center"/>
            <w:shd w:fill="E8EEF5"/>
          </w:tcPr>
          <w:p>
            <w:pPr>
              <w:spacing w:after="0" w:line="264" w:lineRule="auto"/>
            </w:pPr>
            <w:r>
              <w:rPr>
                <w:b/>
                <w:color w:val="1F4D78"/>
                <w:sz w:val="17"/>
              </w:rPr>
              <w:t>Local text/work evidence</w:t>
            </w:r>
          </w:p>
        </w:tc>
        <w:tc>
          <w:tcPr>
            <w:tcW w:type="dxa" w:w="1900"/>
            <w:tcMar>
              <w:top w:w="75" w:type="dxa"/>
              <w:start w:w="100" w:type="dxa"/>
              <w:bottom w:w="75" w:type="dxa"/>
              <w:end w:w="100" w:type="dxa"/>
            </w:tcMar>
            <w:vAlign w:val="center"/>
            <w:shd w:fill="E8EEF5"/>
          </w:tcPr>
          <w:p>
            <w:pPr>
              <w:spacing w:after="0" w:line="264" w:lineRule="auto"/>
            </w:pPr>
            <w:r>
              <w:rPr>
                <w:b/>
                <w:color w:val="1F4D78"/>
                <w:sz w:val="17"/>
              </w:rPr>
              <w:t>Coverage or limitation</w:t>
            </w:r>
          </w:p>
        </w:tc>
        <w:tc>
          <w:tcPr>
            <w:tcW w:type="dxa" w:w="1860"/>
            <w:tcMar>
              <w:top w:w="75" w:type="dxa"/>
              <w:start w:w="100" w:type="dxa"/>
              <w:bottom w:w="75" w:type="dxa"/>
              <w:end w:w="100" w:type="dxa"/>
            </w:tcMar>
            <w:vAlign w:val="center"/>
            <w:shd w:fill="E8EEF5"/>
          </w:tcPr>
          <w:p>
            <w:pPr>
              <w:spacing w:after="0" w:line="264" w:lineRule="auto"/>
            </w:pPr>
            <w:r>
              <w:rPr>
                <w:b/>
                <w:color w:val="1F4D78"/>
                <w:sz w:val="17"/>
              </w:rPr>
              <w:t>Revision</w:t>
            </w: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Primary support</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Complication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r>
        <w:trPr>
          <w:cantSplit/>
          <w:trHeight w:hRule="atLeast"/>
        </w:trPr>
        <w:tc>
          <w:tcPr>
            <w:tcW w:type="dxa" w:w="1600"/>
            <w:tcMar>
              <w:top w:w="75" w:type="dxa"/>
              <w:start w:w="100" w:type="dxa"/>
              <w:bottom w:w="75" w:type="dxa"/>
              <w:end w:w="100" w:type="dxa"/>
            </w:tcMar>
            <w:vAlign w:val="center"/>
          </w:tcPr>
          <w:p>
            <w:pPr>
              <w:spacing w:after="0" w:line="264" w:lineRule="auto"/>
            </w:pPr>
            <w:r>
              <w:rPr>
                <w:sz w:val="17"/>
              </w:rPr>
              <w:t>Alternative explanation</w:t>
            </w:r>
          </w:p>
        </w:tc>
        <w:tc>
          <w:tcPr>
            <w:tcW w:type="dxa" w:w="1900"/>
            <w:tcMar>
              <w:top w:w="75" w:type="dxa"/>
              <w:start w:w="100" w:type="dxa"/>
              <w:bottom w:w="75" w:type="dxa"/>
              <w:end w:w="100" w:type="dxa"/>
            </w:tcMar>
            <w:vAlign w:val="center"/>
          </w:tcPr>
          <w:p>
            <w:pPr>
              <w:spacing w:after="0" w:line="264" w:lineRule="auto"/>
            </w:pPr>
          </w:p>
        </w:tc>
        <w:tc>
          <w:tcPr>
            <w:tcW w:type="dxa" w:w="2100"/>
            <w:tcMar>
              <w:top w:w="75" w:type="dxa"/>
              <w:start w:w="100" w:type="dxa"/>
              <w:bottom w:w="75" w:type="dxa"/>
              <w:end w:w="100" w:type="dxa"/>
            </w:tcMar>
            <w:vAlign w:val="center"/>
          </w:tcPr>
          <w:p>
            <w:pPr>
              <w:spacing w:after="0" w:line="264" w:lineRule="auto"/>
            </w:pPr>
          </w:p>
        </w:tc>
        <w:tc>
          <w:tcPr>
            <w:tcW w:type="dxa" w:w="1900"/>
            <w:tcMar>
              <w:top w:w="75" w:type="dxa"/>
              <w:start w:w="100" w:type="dxa"/>
              <w:bottom w:w="75" w:type="dxa"/>
              <w:end w:w="100" w:type="dxa"/>
            </w:tcMar>
            <w:vAlign w:val="center"/>
          </w:tcPr>
          <w:p>
            <w:pPr>
              <w:spacing w:after="0" w:line="264" w:lineRule="auto"/>
            </w:pPr>
          </w:p>
        </w:tc>
        <w:tc>
          <w:tcPr>
            <w:tcW w:type="dxa" w:w="1860"/>
            <w:tcMar>
              <w:top w:w="75" w:type="dxa"/>
              <w:start w:w="100" w:type="dxa"/>
              <w:bottom w:w="75" w:type="dxa"/>
              <w:end w:w="100" w:type="dxa"/>
            </w:tcMar>
            <w:vAlign w:val="center"/>
          </w:tcPr>
          <w:p>
            <w:pPr>
              <w:spacing w:after="0" w:line="264" w:lineRule="auto"/>
            </w:pPr>
          </w:p>
        </w:tc>
      </w:tr>
    </w:tbl>
    <w:p>
      <w:pPr>
        <w:pStyle w:val="Heading2"/>
      </w:pPr>
      <w:r>
        <w:t>Final submission checklist</w:t>
      </w:r>
    </w:p>
    <w:p>
      <w:pPr>
        <w:pStyle w:val="ListBullet"/>
      </w:pPr>
      <w:r>
        <w:t>The text or corpus source and rights are documented.</w:t>
      </w:r>
    </w:p>
    <w:p>
      <w:pPr>
        <w:pStyle w:val="ListBullet"/>
      </w:pPr>
      <w:r>
        <w:t>The analytical question and selected metrics are aligned.</w:t>
      </w:r>
    </w:p>
    <w:p>
      <w:pPr>
        <w:pStyle w:val="ListBullet"/>
      </w:pPr>
      <w:r>
        <w:t>Every comparison uses compatible settings or clearly explains why not.</w:t>
      </w:r>
    </w:p>
    <w:p>
      <w:pPr>
        <w:pStyle w:val="ListBullet"/>
      </w:pPr>
      <w:r>
        <w:t>Coverage, eligible counts, missingness, and warnings are reported.</w:t>
      </w:r>
    </w:p>
    <w:p>
      <w:pPr>
        <w:pStyle w:val="ListBullet"/>
      </w:pPr>
      <w:r>
        <w:t>At least one complicating result is interpreted.</w:t>
      </w:r>
    </w:p>
    <w:p>
      <w:pPr>
        <w:pStyle w:val="ListBullet"/>
      </w:pPr>
      <w:r>
        <w:t>Local textual or instructional evidence appears alongside aggregate results.</w:t>
      </w:r>
    </w:p>
    <w:p>
      <w:pPr>
        <w:pStyle w:val="ListBullet"/>
      </w:pPr>
      <w:r>
        <w:t>Methods and versions are sufficient for reconstruction.</w:t>
      </w:r>
    </w:p>
    <w:p>
      <w:pPr>
        <w:pStyle w:val="ListBullet"/>
      </w:pPr>
      <w:r>
        <w:t>Private notes and licensed resources are excluded unless explicitly authorized.</w:t>
      </w:r>
    </w:p>
    <w:p>
      <w:pPr>
        <w:pStyle w:val="ListBullet"/>
      </w:pPr>
      <w:r>
        <w:t>The rubric has been used for self-review.</w:t>
      </w:r>
    </w:p>
    <w:p>
      <w:pPr>
        <w:pStyle w:val="Heading1"/>
      </w:pPr>
      <w:r>
        <w:t>Integrity and Privacy</w:t>
      </w:r>
    </w:p>
    <w:p>
      <w:r>
        <w:t>Use complete public-domain poems only through lawful source access; cite rather than reproduce the full poem inside this public exercise. Do not submit texts or data that the evaluator is not authorized to receive. If an external statistical program is used, identify it and include the script or command record; do not describe external results as VerseVAD calculations.</w:t>
      </w:r>
    </w:p>
    <w:p>
      <w:pPr>
        <w:pStyle w:val="Heading2"/>
      </w:pPr>
      <w:r>
        <w:t>Automatic remediation triggers</w:t>
      </w:r>
    </w:p>
    <w:p>
      <w:pPr>
        <w:pStyle w:val="ListBullet"/>
      </w:pPr>
      <w:r>
        <w:t>Teaching a metric, denominator, or current feature inaccurately after a correction opportunity</w:t>
      </w:r>
    </w:p>
    <w:p>
      <w:pPr>
        <w:pStyle w:val="ListBullet"/>
      </w:pPr>
      <w:r>
        <w:t>Presenting VerseVAD as diagnosis, intention detection, quality ranking, or replacement for close reading</w:t>
      </w:r>
    </w:p>
    <w:p>
      <w:pPr>
        <w:pStyle w:val="ListBullet"/>
      </w:pPr>
      <w:r>
        <w:t>Using or exposing unauthorized, licensed, private, or inaccessible materials</w:t>
      </w:r>
    </w:p>
    <w:p>
      <w:pPr>
        <w:pStyle w:val="ListBullet"/>
      </w:pPr>
      <w:r>
        <w:t>Ignoring a material warning or fabricating unavailable output during demonstration</w:t>
      </w:r>
    </w:p>
    <w:p>
      <w:pPr>
        <w:pStyle w:val="ListBullet"/>
      </w:pPr>
      <w:r>
        <w:t>Issuing or promising authorization outside owner-approved governance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VerseVAD Authorized Instructor Training · Applied Assignment</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Authorized Instructor Training</dc:title>
  <dc:subject>Applied performance assessment for VerseVAD Authorized Instructor training course</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